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</w:pPr>
      <w:r>
        <w:rPr>
          <w:b/>
        </w:rPr>
        <w:t>Table I. Corpus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20"/>
              </w:rPr>
              <w:t>Event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Videos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Comments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Distinct commenters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Replies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Innovation-framed videos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The Odyssey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71,020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53,505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16,646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World Cup 2026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42,867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36,900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5,740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</w:tr>
    </w:tbl>
    <w:p/>
    <w:p>
      <w:r>
        <w:rPr>
          <w:i/>
          <w:sz w:val="18"/>
        </w:rPr>
        <w:t>Note: comments sliced to each event's six-week analysis window; commenters anonymised at collection. Innovation-framed = title/description foregrounds IMAX/70mm/large-format narrative.</w:t>
      </w:r>
    </w:p>
    <w:p>
      <w:pPr>
        <w:spacing w:before="200"/>
      </w:pPr>
      <w:r>
        <w:rPr>
          <w:b/>
        </w:rPr>
        <w:t>Table II. Co-commenter network structural profiles (RQ1)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The Odyssey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World Cup 2026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Nodes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1931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742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Edges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24845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7832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Density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0.0133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0.0285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Modularity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0.715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0.509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Communities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Degree assortativity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0.229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-0.103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Avg. clustering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0.913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0.882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Core-periphery coeff.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0.866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0.656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Bridge prevalence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0.100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0.101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Largest component frac.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0.959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0.970</w:t>
            </w:r>
          </w:p>
        </w:tc>
      </w:tr>
    </w:tbl>
    <w:p/>
    <w:p>
      <w:r>
        <w:rPr>
          <w:i/>
          <w:sz w:val="18"/>
        </w:rPr>
        <w:t>Graph-level embedding distance = 0.227; Laplacian spectral distance = 0.423. Edge = &gt;=2 shared videos; nodes with degree &lt;2 removed.</w:t>
      </w:r>
    </w:p>
    <w:p>
      <w:pPr>
        <w:spacing w:before="200"/>
      </w:pPr>
      <w:r>
        <w:rPr>
          <w:b/>
        </w:rPr>
        <w:t>Table III. Sequential detection: Monte-Carlo error control and power (RQ2)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False-alarm prob.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Detection power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Null (Poisson)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e-process (Poisson)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0.006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Null (Poisson)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e-process (NB-robust)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0.004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Null (Poisson)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e-detector (SR)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Null (Poisson)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fixed-window (naive)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0.589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Null (overdispersed)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e-process (Poisson)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0.238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Null (overdispersed)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e-process (NB-robust)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0.081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Null (overdispersed)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e-detector (SR)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0.392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Null (overdispersed)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fixed-window (naive)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Shift ×1.5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e-process (Poisson)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0.990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Shift ×1.5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e-process (NB-robust)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0.987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Shift ×1.5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e-detector (SR)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0.040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0.961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Shift ×1.5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fixed-window (naive)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0.282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0.718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Shift ×2.5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e-process (Poisson)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0.999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Shift ×2.5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e-process (NB-robust)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0.999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Shift ×2.5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e-detector (SR)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0.049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0.952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Shift ×2.5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fixed-window (naive)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0.287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0.713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Shift ×2 (overdispersed)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e-process (Poisson)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0.767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0.215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Shift ×2 (overdispersed)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e-process (NB-robust)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0.032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0.554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Shift ×2 (overdispersed)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e-detector (SR)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0.232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0.750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Shift ×2 (overdispersed)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fixed-window (naive)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0.933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0.067</w:t>
            </w:r>
          </w:p>
        </w:tc>
      </w:tr>
    </w:tbl>
    <w:p/>
    <w:p>
      <w:r>
        <w:rPr>
          <w:i/>
          <w:sz w:val="18"/>
        </w:rPr>
        <w:t>2,000 replications; alpha = 0.05; baseline rate calibrated to observed data (63.7 comments/day). For null scenarios 'False-alarm prob.' is the probability of any alarm; for shift scenarios it is the probability of a pre-change alarm and 'Detection power' the probability of a valid post-change alarm.</w:t>
      </w:r>
    </w:p>
    <w:p>
      <w:pPr>
        <w:spacing w:before="200"/>
      </w:pPr>
      <w:r>
        <w:rPr>
          <w:b/>
        </w:rPr>
        <w:t>Table IV. Causal effect of format-innovation framing on diffusion (RQ3)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ATT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95% CI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Naive diff.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Matched pairs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breadth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-299.76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[-562.36, -43.86]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-188.41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volume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-274.65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[-635.31, 86.12]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-206.36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reply_ratio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[-0.02, 0.16]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</w:tr>
    </w:tbl>
    <w:p/>
    <w:p>
      <w:r>
        <w:rPr>
          <w:i/>
          <w:sz w:val="18"/>
        </w:rPr>
        <w:t>Propensity-score matching on log subscribers, channel video count, upload hour, days from anchor, log prior views; 1:1 nearest-neighbour, caliper 0.5 SD. 34 of 70 videos treated. Max standardised mean difference after matching = 0.238 (acceptable balance). Reply-chain depth omitted (structurally capped on YouTube).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