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26"/>
          <w:szCs w:val="26"/>
        </w:rPr>
        <w:t xml:space="preserve">TrustFedGNN: A Byzantine-Robust and Differentially Private Federated Graph Neural Network with Fairness Constraints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Abstract</w:t>
      </w:r>
    </w:p>
    <w:p>
      <w:pPr>
        <w:spacing w:after="240" w:line="276"/>
        <w:jc w:val="both"/>
      </w:pPr>
      <w:r>
        <w:t xml:space="preserve">Federated Learning (FL) enables institutions to collaboratively train shared models over sensitive, decentralized graph data — such as transaction logs, credit histories, and social ties — without exposing raw records. However, deploying automated graph risk detection in high-stakes domains requires satisfying a tripartite mandate of trustworthiness: demographic fairness, differential privacy (DP), and Byzantine resilience. Existing methods address these objectives in isolation, and no prior framework unifies them without severe utility degradation. We present </w:t>
      </w:r>
      <w:r>
        <w:rPr>
          <w:b/>
          <w:bCs/>
        </w:rPr>
        <w:t xml:space="preserve">TrustFedGNN</w:t>
      </w:r>
      <w:r>
        <w:t xml:space="preserve">, a principled framework for trustworthy federated graph neural networks structured around three intellectual pillars: (i) </w:t>
      </w:r>
      <w:r>
        <w:rPr>
          <w:i/>
          <w:iCs/>
        </w:rPr>
        <w:t xml:space="preserve">Pillar C1 (Client-Side Attention Debiasing &amp; Targeted DP)</w:t>
      </w:r>
      <w:r>
        <w:t xml:space="preserve">: introduces Fairness-Sensitive Edge Reweighting (FSER), a learned attention penalty that acts as an inductive regularizer on natural homophilic graphs (+0.0201 AUC, </w:t>
      </w:r>
      <w:r>
        <w:rPr>
          <w:i/>
          <w:iCs/>
        </w:rPr>
        <w:t xml:space="preserve">p</w:t>
      </w:r>
      <w:r>
        <w:t xml:space="preserve"> = 0.0059), paired with Fairness-Targeted Gradient Decomposition (FTGD), which privatizes solely the 2D demographic-parity statistic to attain (</w:t>
      </w:r>
      <w:r>
        <w:rPr>
          <w:i/>
          <w:iCs/>
        </w:rPr>
        <w:t xml:space="preserve">ε</w:t>
      </w:r>
      <w:r>
        <w:t xml:space="preserve">, </w:t>
      </w:r>
      <w:r>
        <w:rPr>
          <w:i/>
          <w:iCs/>
        </w:rPr>
        <w:t xml:space="preserve">δ</w:t>
      </w:r>
      <w:r>
        <w:t xml:space="preserve">)-DP without isotropic noise destruction (</w:t>
      </w:r>
      <w:r>
        <w:rPr>
          <w:i/>
          <w:iCs/>
        </w:rPr>
        <w:t xml:space="preserve">O</w:t>
      </w:r>
      <w:r>
        <w:t xml:space="preserve">(1) vs. </w:t>
      </w:r>
      <w:r>
        <w:rPr>
          <w:i/>
          <w:iCs/>
        </w:rPr>
        <w:t xml:space="preserve">O</w:t>
      </w:r>
      <w:r>
        <w:t xml:space="preserve">(√|</w:t>
      </w:r>
      <w:r>
        <w:rPr>
          <w:i/>
          <w:iCs/>
        </w:rPr>
        <w:t xml:space="preserve">θ</w:t>
      </w:r>
      <w:r>
        <w:t xml:space="preserve">|) noise); (ii) </w:t>
      </w:r>
      <w:r>
        <w:rPr>
          <w:i/>
          <w:iCs/>
        </w:rPr>
        <w:t xml:space="preserve">Pillar C2 (Server-Side Byzantine-Resilient Simplex Aggregation)</w:t>
      </w:r>
      <w:r>
        <w:t xml:space="preserve">: implements Bi-objective Frank–Wolfe Aggregation (BFWA), which steers aggregation weights on the probability simplex </w:t>
      </w:r>
      <w:r>
        <w:rPr>
          <w:i/>
          <w:iCs/>
        </w:rPr>
        <w:t xml:space="preserve">Δ</w:t>
      </w:r>
      <w:r>
        <w:rPr>
          <w:i/>
          <w:iCs/>
          <w:vertAlign w:val="subscript"/>
        </w:rPr>
        <w:t xml:space="preserve">K</w:t>
      </w:r>
      <w:r>
        <w:t xml:space="preserve"> toward a fairness budget </w:t>
      </w:r>
      <w:r>
        <w:rPr>
          <w:i/>
          <w:iCs/>
        </w:rPr>
        <w:t xml:space="preserve">τ</w:t>
      </w:r>
      <w:r>
        <w:t xml:space="preserve"> via dual ascent (feasibility reported as a constraint residual rather than enforced exactly), and Coordinate-wise Median filtering, whose robustness to an omniscient adaptive stealth fairness adversary is structural — it admits no per-client weight vector for a stealth adversary to manipulate — up to the standard Byzantine breakdown fraction </w:t>
      </w:r>
      <w:r>
        <w:rPr>
          <w:i/>
          <w:iCs/>
        </w:rPr>
        <w:t xml:space="preserve">f</w:t>
      </w:r>
      <w:r>
        <w:t xml:space="preserve"> &lt; 0.5; and (iii) </w:t>
      </w:r>
      <w:r>
        <w:rPr>
          <w:i/>
          <w:iCs/>
        </w:rPr>
        <w:t xml:space="preserve">Pillar C3 (Theoretical Guarantees and Multi-Scale Rigor)</w:t>
      </w:r>
      <w:r>
        <w:t xml:space="preserve">: provides analytical privacy conversions and demographic non-leakage theorems across the FSER × FTGD interface. Evaluated across 6 benchmark datasets — including the 203k-node Elliptic Bitcoin transaction network and the 2.4M-node ogbn-products graph — TrustFedGNN attains the best predictive utility among 7 external federated and centralized baselines on the two benchmarks held to the study’s full statistical protocol (</w:t>
      </w:r>
      <w:r>
        <w:rPr>
          <w:i/>
          <w:iCs/>
        </w:rPr>
        <w:t xml:space="preserve">n</w:t>
      </w:r>
      <w:r>
        <w:t xml:space="preserve"> = 10 seeds, paired Wilcoxon signed-rank tests with Holm–Bonferroni correction), while its fairness improvements are utility-preserving rather than uniformly best-in-class on every disparity metric and dataset, a qualification we report and analyze explicitly rather than omit (Section 5.7, Limitations).</w:t>
      </w:r>
    </w:p>
    <w:p>
      <w:pPr>
        <w:spacing w:before="200"/>
      </w:pPr>
      <w:r>
        <w:rPr>
          <w:b/>
          <w:bCs/>
        </w:rPr>
        <w:t xml:space="preserve">Keywords: </w:t>
      </w:r>
      <w:r>
        <w:t xml:space="preserve">Federated Learning; Graph Neural Networks; Algorithmic Fairness; Differential Privacy; Byzantine Robustness; Fraud Detection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2026-09-06T14:04:29.396Z</dcterms:created>
  <dcterms:modified xsi:type="dcterms:W3CDTF">2026-09-06T14:04:29.396Z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