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Editor-in-Chief,</w:t>
      </w:r>
    </w:p>
    <w:p/>
    <w:p>
      <w:r>
        <w:t>Please consider the enclosed manuscript, "Anticipating demand in carbon-aware scheduling across data centers: guarantees and fair carbon attribution", for publication as a full-length article in Sustainable Operations and Computers.</w:t>
      </w:r>
    </w:p>
    <w:p/>
    <w:p>
      <w:r>
        <w:t>The paper studies how to schedule deferrable computing jobs across data-center sites so as to reduce carbon emissions when low-carbon capacity is scarce and future jobs are unknown. It formulates the problem as a minimum-cost flow, proves a lower bound on the competitive ratio that follows from demand uncertainty alone, and studies an anticipatory receding-horizon policy (CARMA) whose guarantees hold under stated assumptions. The policy is evaluated out of sample on five grids (Great Britain, Europe, the United States, Brazil and a four-continent fleet), on a workload derived from a production cluster trace, and against strong baselines including a scenario-based stochastic lookahead. The paper also reports unfavorable results: limited benefit without migration, a small advantage under a marginal-emission proxy, and a stochastic lookahead that is slightly better at a much higher computing cost. Carbon attribution among sites is treated as a cooperative game, with a dual-price allocation that lies in the core.</w:t>
      </w:r>
    </w:p>
    <w:p/>
    <w:p>
      <w:r>
        <w:t>The topic fits the scope of the journal on low-carbon operations, optimization and computer-based decision support, and it builds on work published in it.</w:t>
      </w:r>
    </w:p>
    <w:p/>
    <w:p>
      <w:r>
        <w:t>This work has not been published previously, is not under consideration elsewhere, and is approved by the sole author. The data come from public sources, and all code and raw results are available from the repository named in the Data availability statement. I declare no competing interests.</w:t>
      </w:r>
    </w:p>
    <w:p/>
    <w:p>
      <w:r>
        <w:t>Sincerely,</w:t>
      </w:r>
    </w:p>
    <w:p>
      <w:r>
        <w:t>Quang-Vinh Dang</w:t>
      </w:r>
    </w:p>
    <w:p>
      <w:r>
        <w:t>British University Vietnam, Hung Yen, Vietnam</w:t>
      </w:r>
    </w:p>
    <w:p>
      <w:r>
        <w:t>vinh.dq4@buv.edu.vn  |  ORCID 0000-0002-3877-8024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