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Without demand knowledge, no online scheduler beats a ratio of order √θ.</w:t>
      </w:r>
    </w:p>
    <w:p>
      <w:pPr>
        <w:pStyle w:val="ListBullet"/>
      </w:pPr>
      <w:r>
        <w:t>CARMA adds ghost jobs for expected arrivals to a min-cost-flow planner.</w:t>
      </w:r>
    </w:p>
    <w:p>
      <w:pPr>
        <w:pStyle w:val="ListBullet"/>
      </w:pPr>
      <w:r>
        <w:t>Under a backstop, CARMA is deadline-safe and optimal with exact predictions.</w:t>
      </w:r>
    </w:p>
    <w:p>
      <w:pPr>
        <w:pStyle w:val="ListBullet"/>
      </w:pPr>
      <w:r>
        <w:t>CARMA beats all baselines lacking demand information on five grids.</w:t>
      </w:r>
    </w:p>
    <w:p>
      <w:pPr>
        <w:pStyle w:val="ListBullet"/>
      </w:pPr>
      <w:r>
        <w:t>Dual prices give a core-stable attribution; origin/host accounting is not stable.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