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df" ContentType="application/pdf"/>
  <Override PartName="/word/media/rId57.pdf" ContentType="application/pdf"/>
  <Override PartName="/word/media/rId54.pdf" ContentType="application/pdf"/>
  <Override PartName="/word/media/rId43.pdf" ContentType="application/pdf"/>
  <Override PartName="/word/media/rId4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Counterfactual</w:t>
      </w:r>
      <w:r>
        <w:t xml:space="preserve"> </w:t>
      </w:r>
      <w:r>
        <w:t xml:space="preserve">Attribution</w:t>
      </w:r>
      <w:r>
        <w:t xml:space="preserve"> </w:t>
      </w:r>
      <w:r>
        <w:t xml:space="preserve">of</w:t>
      </w:r>
      <w:r>
        <w:t xml:space="preserve"> </w:t>
      </w:r>
      <w:r>
        <w:t xml:space="preserve">Crypto</w:t>
      </w:r>
      <w:r>
        <w:t xml:space="preserve"> </w:t>
      </w:r>
      <w:r>
        <w:t xml:space="preserve">Systemic</w:t>
      </w:r>
      <w:r>
        <w:t xml:space="preserve"> </w:t>
      </w:r>
      <w:r>
        <w:t xml:space="preserve">Stress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Ledger-Specified</w:t>
      </w:r>
      <w:r>
        <w:t xml:space="preserve"> </w:t>
      </w:r>
      <w:r>
        <w:t xml:space="preserve">Causal</w:t>
      </w:r>
      <w:r>
        <w:t xml:space="preserve"> </w:t>
      </w:r>
      <w:r>
        <w:t xml:space="preserve">Graph:</w:t>
      </w:r>
      <w:r>
        <w:t xml:space="preserve"> </w:t>
      </w:r>
      <w: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Cautionary</w:t>
      </w:r>
      <w:r>
        <w:t xml:space="preserve"> </w:t>
      </w:r>
      <w:r>
        <w:t xml:space="preserve">Benchmark</w:t>
      </w:r>
    </w:p>
    <w:p>
      <w:pPr>
        <w:pStyle w:val="Author"/>
      </w:pPr>
      <w:r>
        <w:t xml:space="preserve">Anonymous</w:t>
      </w:r>
    </w:p>
    <w:bookmarkStart w:id="22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On 10–11 October 2025 cryptocurrency markets experienced one of the largest</w:t>
      </w:r>
      <w:r>
        <w:t xml:space="preserve"> </w:t>
      </w:r>
      <w:r>
        <w:t xml:space="preserve">deleveraging episodes on record, with on the order of nineteen billion US dollars of</w:t>
      </w:r>
      <w:r>
        <w:t xml:space="preserve"> </w:t>
      </w:r>
      <w:r>
        <w:t xml:space="preserve">leveraged positions liquidated within about thirty-six hours.</w:t>
      </w:r>
      <w:r>
        <w:rPr>
          <w:rStyle w:val="FootnoteReference"/>
        </w:rPr>
        <w:footnoteReference w:id="20"/>
      </w:r>
      <w:r>
        <w:t xml:space="preserve"> </w:t>
      </w:r>
      <w:r>
        <w:t xml:space="preserve">Post-mortems</w:t>
      </w:r>
      <w:r>
        <w:t xml:space="preserve"> </w:t>
      </w:r>
      <w:r>
        <w:t xml:space="preserve">(Ali 2025; Lim 2026)</w:t>
      </w:r>
      <w:r>
        <w:t xml:space="preserve"> </w:t>
      </w:r>
      <w:r>
        <w:t xml:space="preserve">describe a largely mechanical cascade:</w:t>
      </w:r>
      <w:r>
        <w:t xml:space="preserve"> </w:t>
      </w:r>
      <w:r>
        <w:t xml:space="preserve">a mispricing in a centralised exchange’s collateral valuation triggered liquidations,</w:t>
      </w:r>
      <w:r>
        <w:t xml:space="preserve"> </w:t>
      </w:r>
      <w:r>
        <w:t xml:space="preserve">which forced sales and further liquidations. Over-collateralised decentralised-finance</w:t>
      </w:r>
      <w:r>
        <w:t xml:space="preserve"> </w:t>
      </w:r>
      <w:r>
        <w:t xml:space="preserve">(DeFi) lending protocols such as Aave recorded essentially no bad debt, whereas</w:t>
      </w:r>
      <w:r>
        <w:t xml:space="preserve"> </w:t>
      </w:r>
      <w:r>
        <w:t xml:space="preserve">centralised-exchange (CEX) risk engines amplified the shock. The episode left a</w:t>
      </w:r>
      <w:r>
        <w:t xml:space="preserve"> </w:t>
      </w:r>
      <w:r>
        <w:t xml:space="preserve">high-resolution on-chain footprint of liquidation transfers, collateral movements and</w:t>
      </w:r>
      <w:r>
        <w:t xml:space="preserve"> </w:t>
      </w:r>
      <w:r>
        <w:t xml:space="preserve">exchange flows, timestamped to the block.</w:t>
      </w:r>
    </w:p>
    <w:p>
      <w:pPr>
        <w:pStyle w:val="BodyText"/>
      </w:pPr>
      <w:r>
        <w:t xml:space="preserve">The standard systemic-risk tools are associational.</w:t>
      </w:r>
      <w:r>
        <w:t xml:space="preserve"> </w:t>
      </w:r>
      <m:oMath>
        <m:r>
          <m:t>Δ</m:t>
        </m:r>
      </m:oMath>
      <w:r>
        <w:t xml:space="preserve">CoVaR</w:t>
      </w:r>
      <w:r>
        <w:t xml:space="preserve"> </w:t>
      </w:r>
      <w:r>
        <w:t xml:space="preserve">(Adrian and Brunnermeier 2016)</w:t>
      </w:r>
      <w:r>
        <w:t xml:space="preserve">,</w:t>
      </w:r>
      <w:r>
        <w:t xml:space="preserve"> </w:t>
      </w:r>
      <w:r>
        <w:t xml:space="preserve">marginal expected shortfall and SRISK</w:t>
      </w:r>
      <w:r>
        <w:t xml:space="preserve"> </w:t>
      </w:r>
      <w:r>
        <w:t xml:space="preserve">(Acharya et al. 2017)</w:t>
      </w:r>
      <w:r>
        <w:t xml:space="preserve">, and connectedness</w:t>
      </w:r>
      <w:r>
        <w:t xml:space="preserve"> </w:t>
      </w:r>
      <w:r>
        <w:t xml:space="preserve">measures</w:t>
      </w:r>
      <w:r>
        <w:t xml:space="preserve"> </w:t>
      </w:r>
      <w:r>
        <w:t xml:space="preserve">(Diebold and Yılmaz 2014; Billio et al. 2012)</w:t>
      </w:r>
      <w:r>
        <w:t xml:space="preserve"> </w:t>
      </w:r>
      <w:r>
        <w:t xml:space="preserve">quantify co-movement in</w:t>
      </w:r>
      <w:r>
        <w:t xml:space="preserve"> </w:t>
      </w:r>
      <w:r>
        <w:t xml:space="preserve">returns, and a survey of causal inference in finance finds that applications around</w:t>
      </w:r>
      <w:r>
        <w:t xml:space="preserve"> </w:t>
      </w:r>
      <w:r>
        <w:t xml:space="preserve">these measures remain associational or Granger-based</w:t>
      </w:r>
      <w:r>
        <w:t xml:space="preserve"> </w:t>
      </w:r>
      <w:r>
        <w:t xml:space="preserve">(Kumar et al. 2025)</w:t>
      </w:r>
      <w:r>
        <w:t xml:space="preserve">. Where</w:t>
      </w:r>
      <w:r>
        <w:t xml:space="preserve"> </w:t>
      </w:r>
      <w:r>
        <w:t xml:space="preserve">causality has been added, the contagion graph is still estimated from prices</w:t>
      </w:r>
      <w:r>
        <w:t xml:space="preserve"> </w:t>
      </w:r>
      <w:r>
        <w:t xml:space="preserve">(Rigana, Wit, and Cook 2024, 2023; Etesami, Habibnia, and Kiyavash 2023; Giudici and Parisi 2018)</w:t>
      </w:r>
      <w:r>
        <w:t xml:space="preserve">. Shapley-value</w:t>
      </w:r>
      <w:r>
        <w:t xml:space="preserve"> </w:t>
      </w:r>
      <w:r>
        <w:t xml:space="preserve">risk attribution</w:t>
      </w:r>
      <w:r>
        <w:t xml:space="preserve"> </w:t>
      </w:r>
      <w:r>
        <w:t xml:space="preserve">(Tarashev, Borio, and Tsatsaronis 2016)</w:t>
      </w:r>
      <w:r>
        <w:t xml:space="preserve"> </w:t>
      </w:r>
      <w:r>
        <w:t xml:space="preserve">and causal Shapley methods</w:t>
      </w:r>
      <w:r>
        <w:t xml:space="preserve"> </w:t>
      </w:r>
      <w:r>
        <w:t xml:space="preserve">(Heskes et al. 2020; Singal, Michailidis, and Ng 2021)</w:t>
      </w:r>
      <w:r>
        <w:t xml:space="preserve"> </w:t>
      </w:r>
      <w:r>
        <w:t xml:space="preserve">come closest in spirit, but they do not take an observed</w:t>
      </w:r>
      <w:r>
        <w:t xml:space="preserve"> </w:t>
      </w:r>
      <w:r>
        <w:t xml:space="preserve">transaction ledger as the causal structure of a systemic-risk measure (Section </w:t>
      </w:r>
      <w:hyperlink w:anchor="sec:related">
        <w:r>
          <w:rPr>
            <w:rStyle w:val="Hyperlink"/>
          </w:rPr>
          <w:t xml:space="preserve">2</w:t>
        </w:r>
      </w:hyperlink>
      <w:r>
        <w:t xml:space="preserve">).</w:t>
      </w:r>
      <w:r>
        <w:t xml:space="preserve"> </w:t>
      </w:r>
      <w:r>
        <w:t xml:space="preserve">None of these makes the ledger the causal skeleton, and none asks how much of measured</w:t>
      </w:r>
      <w:r>
        <w:t xml:space="preserve"> </w:t>
      </w:r>
      <w:r>
        <w:t xml:space="preserve">stress such a skeleton can explain.</w:t>
      </w:r>
    </w:p>
    <w:p>
      <w:pPr>
        <w:pStyle w:val="BodyText"/>
      </w:pPr>
      <w:r>
        <w:t xml:space="preserve">We make four contributions.</w:t>
      </w:r>
    </w:p>
    <w:p>
      <w:pPr>
        <w:numPr>
          <w:ilvl w:val="0"/>
          <w:numId w:val="1001"/>
        </w:numPr>
      </w:pPr>
      <w:r>
        <w:rPr>
          <w:iCs/>
          <w:i/>
        </w:rPr>
        <w:t xml:space="preserve">Framework.</w:t>
      </w:r>
      <w:r>
        <w:t xml:space="preserve"> </w:t>
      </w:r>
      <w:r>
        <w:t xml:space="preserve">A ledger-specified structural causal model (SCM) skeleton for crypto</w:t>
      </w:r>
      <w:r>
        <w:t xml:space="preserve"> </w:t>
      </w:r>
      <w:r>
        <w:t xml:space="preserve">systemic risk under assumptions A1–A3 (Section </w:t>
      </w:r>
      <w:hyperlink w:anchor="sec:method">
        <w:r>
          <w:rPr>
            <w:rStyle w:val="Hyperlink"/>
          </w:rPr>
          <w:t xml:space="preserve">3</w:t>
        </w:r>
      </w:hyperlink>
      <w:r>
        <w:t xml:space="preserve">), in which the in-neighbours of</w:t>
      </w:r>
      <w:r>
        <w:t xml:space="preserve"> </w:t>
      </w:r>
      <w:r>
        <w:t xml:space="preserve">each entity specify its parent set. We define the interventional On-Chain Causal CoVaR</w:t>
      </w:r>
      <w:r>
        <w:t xml:space="preserve"> </w:t>
      </w:r>
      <w:r>
        <w:t xml:space="preserve">(OC-CoVaR) and a counterfactual loss attribution computed by full abduction. The event shocks</w:t>
      </w:r>
      <w:r>
        <w:t xml:space="preserve"> </w:t>
      </w:r>
      <w:r>
        <w:t xml:space="preserve">are recovered by inverting the structural equations on the observed path, so the factual world</w:t>
      </w:r>
      <w:r>
        <w:t xml:space="preserve"> </w:t>
      </w:r>
      <w:r>
        <w:t xml:space="preserve">reproduces realised stress.</w:t>
      </w:r>
    </w:p>
    <w:p>
      <w:pPr>
        <w:numPr>
          <w:ilvl w:val="0"/>
          <w:numId w:val="1001"/>
        </w:numPr>
      </w:pPr>
      <w:r>
        <w:rPr>
          <w:iCs/>
          <w:i/>
        </w:rPr>
        <w:t xml:space="preserve">Analytic results.</w:t>
      </w:r>
      <w:r>
        <w:t xml:space="preserve"> </w:t>
      </w:r>
      <w:r>
        <w:t xml:space="preserve">Flow-free bounds and the network-multiplier form (Proposition </w:t>
      </w:r>
      <w:hyperlink w:anchor="prop:A">
        <w:r>
          <w:rPr>
            <w:rStyle w:val="Hyperlink"/>
          </w:rPr>
          <w:t xml:space="preserve">2</w:t>
        </w:r>
      </w:hyperlink>
      <w:r>
        <w:t xml:space="preserve">,</w:t>
      </w:r>
      <w:r>
        <w:t xml:space="preserve"> </w:t>
      </w:r>
      <w:r>
        <w:t xml:space="preserve">Corollaries </w:t>
      </w:r>
      <w:hyperlink w:anchor="cor:pure">
        <w:r>
          <w:rPr>
            <w:rStyle w:val="Hyperlink"/>
          </w:rPr>
          <w:t xml:space="preserve">1</w:t>
        </w:r>
      </w:hyperlink>
      <w:r>
        <w:t xml:space="preserve">–</w:t>
      </w:r>
      <w:hyperlink w:anchor="cor:bound">
        <w:r>
          <w:rPr>
            <w:rStyle w:val="Hyperlink"/>
          </w:rPr>
          <w:t xml:space="preserve">3</w:t>
        </w:r>
      </w:hyperlink>
      <w:r>
        <w:t xml:space="preserve">); abduction invariance of stress deviations</w:t>
      </w:r>
      <w:r>
        <w:t xml:space="preserve"> </w:t>
      </w:r>
      <w:r>
        <w:t xml:space="preserve">(Proposition </w:t>
      </w:r>
      <w:hyperlink w:anchor="prop:B">
        <w:r>
          <w:rPr>
            <w:rStyle w:val="Hyperlink"/>
          </w:rPr>
          <w:t xml:space="preserve">3</w:t>
        </w:r>
      </w:hyperlink>
      <w:r>
        <w:t xml:space="preserve">) and a share bound (Corollary </w:t>
      </w:r>
      <w:hyperlink w:anchor="cor:share">
        <w:r>
          <w:rPr>
            <w:rStyle w:val="Hyperlink"/>
          </w:rPr>
          <w:t xml:space="preserve">4</w:t>
        </w:r>
      </w:hyperlink>
      <w:r>
        <w:t xml:space="preserve">, Section </w:t>
      </w:r>
      <w:hyperlink w:anchor="subsec:attribution">
        <w:r>
          <w:rPr>
            <w:rStyle w:val="Hyperlink"/>
          </w:rPr>
          <w:t xml:space="preserve">5.2</w:t>
        </w:r>
      </w:hyperlink>
      <w:r>
        <w:t xml:space="preserve">);</w:t>
      </w:r>
      <w:r>
        <w:t xml:space="preserve"> </w:t>
      </w:r>
      <w:r>
        <w:t xml:space="preserve">the walk representation of linear Shapley attribution, which gives intermediaries negative credit</w:t>
      </w:r>
      <w:r>
        <w:t xml:space="preserve"> </w:t>
      </w:r>
      <w:r>
        <w:t xml:space="preserve">(Proposition </w:t>
      </w:r>
      <w:hyperlink w:anchor="prop:C">
        <w:r>
          <w:rPr>
            <w:rStyle w:val="Hyperlink"/>
          </w:rPr>
          <w:t xml:space="preserve">4</w:t>
        </w:r>
      </w:hyperlink>
      <w:r>
        <w:t xml:space="preserve">); an exact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2</m:t>
                </m:r>
              </m:e>
              <m:sup>
                <m:r>
                  <m:t>p</m:t>
                </m:r>
              </m:sup>
            </m:sSup>
          </m:e>
        </m:d>
      </m:oMath>
      <w:r>
        <w:t xml:space="preserve"> </w:t>
      </w:r>
      <w:r>
        <w:t xml:space="preserve">subset algorithm (Algorithm </w:t>
      </w:r>
      <w:hyperlink w:anchor="alg:shapley">
        <w:r>
          <w:rPr>
            <w:rStyle w:val="Hyperlink"/>
          </w:rPr>
          <w:t xml:space="preserve">[alg:shapley]</w:t>
        </w:r>
      </w:hyperlink>
      <w:r>
        <w:t xml:space="preserve">); and a</w:t>
      </w:r>
      <w:r>
        <w:t xml:space="preserve"> </w:t>
      </w:r>
      <w:r>
        <w:t xml:space="preserve">certified ranking radius (Lemma </w:t>
      </w:r>
      <w:hyperlink w:anchor="lem:radius">
        <w:r>
          <w:rPr>
            <w:rStyle w:val="Hyperlink"/>
          </w:rPr>
          <w:t xml:space="preserve">1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iCs/>
          <w:i/>
        </w:rPr>
        <w:t xml:space="preserve">A methodological lesson with evidence.</w:t>
      </w:r>
      <w:r>
        <w:t xml:space="preserve"> </w:t>
      </w:r>
      <w:r>
        <w:t xml:space="preserve">Zero-shock abduction computes shares against a</w:t>
      </w:r>
      <w:r>
        <w:t xml:space="preserve"> </w:t>
      </w:r>
      <w:r>
        <w:t xml:space="preserve">model-implied loss and inflates them. On the same data the Binance-to-Bybit share moves from</w:t>
      </w:r>
      <w:r>
        <w:t xml:space="preserve"> </w:t>
      </w:r>
      <w:r>
        <w:t xml:space="preserve">6.3% under full abduction to 65.3% under zero-shock abduction. A share</w:t>
      </w:r>
      <w:r>
        <w:t xml:space="preserve"> </w:t>
      </w:r>
      <w:r>
        <w:t xml:space="preserve">is bounded by how much of the target’s stress the network term explains.</w:t>
      </w:r>
    </w:p>
    <w:p>
      <w:pPr>
        <w:numPr>
          <w:ilvl w:val="0"/>
          <w:numId w:val="1001"/>
        </w:numPr>
      </w:pPr>
      <w:r>
        <w:rPr>
          <w:iCs/>
          <w:i/>
        </w:rPr>
        <w:t xml:space="preserve">A reproducible empirical benchmark</w:t>
      </w:r>
      <w:r>
        <w:t xml:space="preserve"> </w:t>
      </w:r>
      <w:r>
        <w:t xml:space="preserve">on free public data (BigQuery</w:t>
      </w:r>
      <w:r>
        <w:t xml:space="preserve"> </w:t>
      </w:r>
      <w:r>
        <w:rPr>
          <w:rStyle w:val="VerbatimChar"/>
        </w:rPr>
        <w:t xml:space="preserve">crypto_ethereum</w:t>
      </w:r>
      <w:r>
        <w:t xml:space="preserve"> </w:t>
      </w:r>
      <w:r>
        <w:t xml:space="preserve">and MIT-licensed label repositories), with uncertainty quantified throughout, and with an</w:t>
      </w:r>
      <w:r>
        <w:t xml:space="preserve"> </w:t>
      </w:r>
      <w:r>
        <w:t xml:space="preserve">out-of-sample comparison against an own-lag baseline.</w:t>
      </w:r>
    </w:p>
    <w:p>
      <w:pPr>
        <w:pStyle w:val="FirstParagraph"/>
      </w:pPr>
      <w:r>
        <w:t xml:space="preserve">Hourly stress is better predicted by its own lag than by the network: in-sample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w:r>
        <w:t xml:space="preserve">0.273, and out of sample the network changes squared error by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0.3% relative to an</w:t>
      </w:r>
      <w:r>
        <w:t xml:space="preserve"> </w:t>
      </w:r>
      <w:r>
        <w:t xml:space="preserve">own-lag model (interval [</w:t>
      </w:r>
      <m:oMath>
        <m:r>
          <m:rPr>
            <m:sty m:val="p"/>
          </m:rPr>
          <m:t>−</m:t>
        </m:r>
      </m:oMath>
      <w:r>
        <w:t xml:space="preserve">2.0%, 1.4%]). No channel’s share</w:t>
      </w:r>
      <w:r>
        <w:t xml:space="preserve"> </w:t>
      </w:r>
      <w:r>
        <w:t xml:space="preserve">exceeds 15.2% (interval upper bound 19.5%). Retail and MakerSky head the ranking, but</w:t>
      </w:r>
      <w:r>
        <w:t xml:space="preserve"> </w:t>
      </w:r>
      <w:r>
        <w:t xml:space="preserve">their order is unresolved and both routes run through the unresolved retail aggregate. Ranks three to six</w:t>
      </w:r>
      <w:r>
        <w:t xml:space="preserve"> </w:t>
      </w:r>
      <w:r>
        <w:t xml:space="preserve">are not resolved in pairwise order. The observed graph does not clearly beat price-estimated graphs, so H1 is</w:t>
      </w:r>
      <w:r>
        <w:t xml:space="preserve"> </w:t>
      </w:r>
      <w:r>
        <w:t xml:space="preserve">not supported, and edge direction is not distinguishable from reversal. The time-shift placebo passes, while the</w:t>
      </w:r>
      <w:r>
        <w:t xml:space="preserve"> </w:t>
      </w:r>
      <w:r>
        <w:t xml:space="preserve">rolling calm-window placebo fails in the October 2025 and FTX episodes. The transmitter-absorber check passes for</w:t>
      </w:r>
      <w:r>
        <w:t xml:space="preserve"> </w:t>
      </w:r>
      <w:r>
        <w:t xml:space="preserve">Binance and fails for Ethena. The ledger structure is auditable but explains limited stress at hourly scale, so</w:t>
      </w:r>
      <w:r>
        <w:t xml:space="preserve"> </w:t>
      </w:r>
      <w:r>
        <w:t xml:space="preserve">attribution has to use full abduction and report uncertainty. Section </w:t>
      </w:r>
      <w:hyperlink w:anchor="sec:method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sets out the framework,</w:t>
      </w:r>
      <w:r>
        <w:t xml:space="preserve"> </w:t>
      </w:r>
      <w:r>
        <w:t xml:space="preserve">Section </w:t>
      </w:r>
      <w:hyperlink w:anchor="sec:data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the data, Section </w:t>
      </w:r>
      <w:hyperlink w:anchor="sec:result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the results and Section </w:t>
      </w:r>
      <w:hyperlink w:anchor="sec:discussion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the discussion.</w:t>
      </w:r>
    </w:p>
    <w:bookmarkEnd w:id="22"/>
    <w:bookmarkStart w:id="23" w:name="sec:related"/>
    <w:p>
      <w:pPr>
        <w:pStyle w:val="Heading1"/>
      </w:pPr>
      <w:r>
        <w:t xml:space="preserve">Related Work and Positioning</w:t>
      </w:r>
    </w:p>
    <w:p>
      <w:pPr>
        <w:pStyle w:val="FirstParagraph"/>
      </w:pPr>
      <w:r>
        <w:rPr>
          <w:iCs/>
          <w:i/>
        </w:rPr>
        <w:t xml:space="preserve">Associational and estimated-graph measures.</w:t>
      </w:r>
      <w:r>
        <w:t xml:space="preserve"> </w:t>
      </w:r>
      <m:oMath>
        <m:r>
          <m:t>Δ</m:t>
        </m:r>
      </m:oMath>
      <w:r>
        <w:t xml:space="preserve">CoVaR</w:t>
      </w:r>
      <w:r>
        <w:t xml:space="preserve"> </w:t>
      </w:r>
      <w:r>
        <w:t xml:space="preserve">(Adrian and Brunnermeier 2016)</w:t>
      </w:r>
      <w:r>
        <w:t xml:space="preserve"> </w:t>
      </w:r>
      <w:r>
        <w:t xml:space="preserve">is the change in</w:t>
      </w:r>
      <w:r>
        <w:t xml:space="preserve"> </w:t>
      </w:r>
      <w:r>
        <w:t xml:space="preserve">system value-at-risk when an institution moves from its median state to distress. The</w:t>
      </w:r>
      <w:r>
        <w:t xml:space="preserve"> </w:t>
      </w:r>
      <w:r>
        <w:t xml:space="preserve">SRISK and MES family</w:t>
      </w:r>
      <w:r>
        <w:t xml:space="preserve"> </w:t>
      </w:r>
      <w:r>
        <w:t xml:space="preserve">(Acharya et al. 2017)</w:t>
      </w:r>
      <w:r>
        <w:t xml:space="preserve"> </w:t>
      </w:r>
      <w:r>
        <w:t xml:space="preserve">and connectedness measures</w:t>
      </w:r>
      <w:r>
        <w:t xml:space="preserve"> </w:t>
      </w:r>
      <w:r>
        <w:t xml:space="preserve">(Diebold and Yılmaz 2014; Billio et al. 2012)</w:t>
      </w:r>
      <w:r>
        <w:t xml:space="preserve"> </w:t>
      </w:r>
      <w:r>
        <w:t xml:space="preserve">describe co-movement rather than mechanism, which is the gap the causal</w:t>
      </w:r>
      <w:r>
        <w:t xml:space="preserve"> </w:t>
      </w:r>
      <w:r>
        <w:t xml:space="preserve">survey of</w:t>
      </w:r>
      <w:r>
        <w:t xml:space="preserve"> </w:t>
      </w:r>
      <w:r>
        <w:t xml:space="preserve">Kumar et al. (2025)</w:t>
      </w:r>
      <w:r>
        <w:t xml:space="preserve"> </w:t>
      </w:r>
      <w:r>
        <w:t xml:space="preserve">also documents. Causal-NECO VaR</w:t>
      </w:r>
      <w:r>
        <w:t xml:space="preserve"> </w:t>
      </w:r>
      <w:r>
        <w:t xml:space="preserve">(Rigana, Wit, and Cook 2024)</w:t>
      </w:r>
      <w:r>
        <w:t xml:space="preserve"> </w:t>
      </w:r>
      <w:r>
        <w:t xml:space="preserve">learns the graph</w:t>
      </w:r>
      <w:r>
        <w:t xml:space="preserve"> </w:t>
      </w:r>
      <w:r>
        <w:t xml:space="preserve">with the PC-stable algorithm</w:t>
      </w:r>
      <w:r>
        <w:t xml:space="preserve"> </w:t>
      </w:r>
      <w:r>
        <w:t xml:space="preserve">(Colombo and Maathuis 2014)</w:t>
      </w:r>
      <w:r>
        <w:t xml:space="preserve"> </w:t>
      </w:r>
      <w:r>
        <w:t xml:space="preserve">and computes a Gaussian VaR from the</w:t>
      </w:r>
      <w:r>
        <w:t xml:space="preserve"> </w:t>
      </w:r>
      <w:r>
        <w:t xml:space="preserve">resulting structural model</w:t>
      </w:r>
      <w:r>
        <w:t xml:space="preserve"> </w:t>
      </w:r>
      <w:r>
        <w:t xml:space="preserve">(Rigana, Wit, and Cook 2023; Spirtes, Glymour, and Scheines 2000)</w:t>
      </w:r>
      <w:r>
        <w:t xml:space="preserve">. It operates at</w:t>
      </w:r>
      <w:r>
        <w:t xml:space="preserve"> </w:t>
      </w:r>
      <w:r>
        <w:t xml:space="preserve">Pearl Levels 1–2 on foreign-exchange data and estimates its graph. The time-varying</w:t>
      </w:r>
      <w:r>
        <w:t xml:space="preserve"> </w:t>
      </w:r>
      <w:r>
        <w:t xml:space="preserve">directed-information graph of</w:t>
      </w:r>
      <w:r>
        <w:t xml:space="preserve"> </w:t>
      </w:r>
      <w:r>
        <w:t xml:space="preserve">Etesami, Habibnia, and Kiyavash (2023)</w:t>
      </w:r>
      <w:r>
        <w:t xml:space="preserve"> </w:t>
      </w:r>
      <w:r>
        <w:t xml:space="preserve">is the nearest crypto application. Directed information</w:t>
      </w:r>
      <w:r>
        <w:t xml:space="preserve"> </w:t>
      </w:r>
      <w:r>
        <w:t xml:space="preserve">generalises Granger causality</w:t>
      </w:r>
      <w:r>
        <w:t xml:space="preserve"> </w:t>
      </w:r>
      <w:r>
        <w:t xml:space="preserve">(Granger 1969)</w:t>
      </w:r>
      <w:r>
        <w:t xml:space="preserve"> </w:t>
      </w:r>
      <w:r>
        <w:t xml:space="preserve">but is not a Pearl SCM with do-operator semantics, and both approaches are</w:t>
      </w:r>
      <w:r>
        <w:t xml:space="preserve"> </w:t>
      </w:r>
      <w:r>
        <w:t xml:space="preserve">built from returns. CoRisk</w:t>
      </w:r>
      <w:r>
        <w:t xml:space="preserve"> </w:t>
      </w:r>
      <w:r>
        <w:t xml:space="preserve">(Giudici and Parisi 2018)</w:t>
      </w:r>
      <w:r>
        <w:t xml:space="preserve"> </w:t>
      </w:r>
      <w:r>
        <w:t xml:space="preserve">decomposes risk on a correlation network. Crypto composite</w:t>
      </w:r>
      <w:r>
        <w:t xml:space="preserve"> </w:t>
      </w:r>
      <w:r>
        <w:t xml:space="preserve">indices</w:t>
      </w:r>
      <w:r>
        <w:t xml:space="preserve"> </w:t>
      </w:r>
      <w:r>
        <w:t xml:space="preserve">(Farzulla and Maksakov 2026)</w:t>
      </w:r>
      <w:r>
        <w:t xml:space="preserve"> </w:t>
      </w:r>
      <w:r>
        <w:t xml:space="preserve">and TradFi–DeFi mappings</w:t>
      </w:r>
      <w:r>
        <w:t xml:space="preserve"> </w:t>
      </w:r>
      <w:r>
        <w:t xml:space="preserve">(Aufiero et al. 2025)</w:t>
      </w:r>
      <w:r>
        <w:t xml:space="preserve"> </w:t>
      </w:r>
      <w:r>
        <w:t xml:space="preserve">either estimate networks from prices or</w:t>
      </w:r>
      <w:r>
        <w:t xml:space="preserve"> </w:t>
      </w:r>
      <w:r>
        <w:t xml:space="preserve">describe the on-chain graph without a causal model.</w:t>
      </w:r>
    </w:p>
    <w:p>
      <w:pPr>
        <w:pStyle w:val="BodyText"/>
      </w:pPr>
      <w:r>
        <w:rPr>
          <w:iCs/>
          <w:i/>
        </w:rPr>
        <w:t xml:space="preserve">Shapley attribution.</w:t>
      </w:r>
      <w:r>
        <w:t xml:space="preserve"> </w:t>
      </w:r>
      <w:r>
        <w:t xml:space="preserve">Tarashev, Borio, and Tsatsaronis (2016)</w:t>
      </w:r>
      <w:r>
        <w:t xml:space="preserve"> </w:t>
      </w:r>
      <w:r>
        <w:t xml:space="preserve">allocate system-wide risk to institutions with the Shapley value, and</w:t>
      </w:r>
      <w:r>
        <w:t xml:space="preserve"> </w:t>
      </w:r>
      <w:r>
        <w:t xml:space="preserve">Drehmann and Tarashev (2013)</w:t>
      </w:r>
      <w:r>
        <w:t xml:space="preserve"> </w:t>
      </w:r>
      <w:r>
        <w:t xml:space="preserve">measure the systemic importance of interconnected banks.</w:t>
      </w:r>
      <w:r>
        <w:t xml:space="preserve"> </w:t>
      </w:r>
      <w:r>
        <w:t xml:space="preserve">These allocations use exposures or portfolio losses rather than a causal model of</w:t>
      </w:r>
      <w:r>
        <w:t xml:space="preserve"> </w:t>
      </w:r>
      <w:r>
        <w:t xml:space="preserve">propagation. Causal Shapley values</w:t>
      </w:r>
      <w:r>
        <w:t xml:space="preserve"> </w:t>
      </w:r>
      <w:r>
        <w:t xml:space="preserve">(Heskes et al. 2020)</w:t>
      </w:r>
      <w:r>
        <w:t xml:space="preserve"> </w:t>
      </w:r>
      <w:r>
        <w:t xml:space="preserve">respect a known causal graph,</w:t>
      </w:r>
      <w:r>
        <w:t xml:space="preserve"> </w:t>
      </w:r>
      <w:r>
        <w:t xml:space="preserve">and</w:t>
      </w:r>
      <w:r>
        <w:t xml:space="preserve"> </w:t>
      </w:r>
      <w:r>
        <w:t xml:space="preserve">Singal, Michailidis, and Ng (2021)</w:t>
      </w:r>
      <w:r>
        <w:t xml:space="preserve"> </w:t>
      </w:r>
      <w:r>
        <w:t xml:space="preserve">give a recursive Shapley attribution for flows in graphical</w:t>
      </w:r>
      <w:r>
        <w:t xml:space="preserve"> </w:t>
      </w:r>
      <w:r>
        <w:t xml:space="preserve">models. Both explain model outputs or flows. VEIN attributes realised systemic loss to</w:t>
      </w:r>
      <w:r>
        <w:t xml:space="preserve"> </w:t>
      </w:r>
      <w:r>
        <w:t xml:space="preserve">interventions on a ledger-specified graph.</w:t>
      </w:r>
    </w:p>
    <w:p>
      <w:pPr>
        <w:pStyle w:val="BodyText"/>
      </w:pPr>
      <w:r>
        <w:rPr>
          <w:iCs/>
          <w:i/>
        </w:rPr>
        <w:t xml:space="preserve">Contagion and on-chain data.</w:t>
      </w:r>
      <w:r>
        <w:t xml:space="preserve"> </w:t>
      </w:r>
      <w:r>
        <w:t xml:space="preserve">Network models of default propagation</w:t>
      </w:r>
      <w:r>
        <w:t xml:space="preserve"> </w:t>
      </w:r>
      <w:r>
        <w:t xml:space="preserve">(Eisenberg and Noe 2001; Acemoglu, Ozdaglar, and Tahbaz-Salehi 2015; Glasserman and Young 2016)</w:t>
      </w:r>
      <w:r>
        <w:t xml:space="preserve"> </w:t>
      </w:r>
      <w:r>
        <w:t xml:space="preserve">motivate the</w:t>
      </w:r>
      <w:r>
        <w:t xml:space="preserve"> </w:t>
      </w:r>
      <w:r>
        <w:t xml:space="preserve">network as the object of study. VEIN uses reduced-form linear propagation instead of a</w:t>
      </w:r>
      <w:r>
        <w:t xml:space="preserve"> </w:t>
      </w:r>
      <w:r>
        <w:t xml:space="preserve">clearing mechanism. On-chain data have been used to study Tether issuance</w:t>
      </w:r>
      <w:r>
        <w:t xml:space="preserve"> </w:t>
      </w:r>
      <w:r>
        <w:t xml:space="preserve">(Griffin and Shams 2020)</w:t>
      </w:r>
      <w:r>
        <w:t xml:space="preserve">, arbitrage</w:t>
      </w:r>
      <w:r>
        <w:t xml:space="preserve"> </w:t>
      </w:r>
      <w:r>
        <w:t xml:space="preserve">and capital flows</w:t>
      </w:r>
      <w:r>
        <w:t xml:space="preserve"> </w:t>
      </w:r>
      <w:r>
        <w:t xml:space="preserve">(Makarov and Schoar 2020)</w:t>
      </w:r>
      <w:r>
        <w:t xml:space="preserve">, the Terra/Luna run</w:t>
      </w:r>
      <w:r>
        <w:t xml:space="preserve"> </w:t>
      </w:r>
      <w:r>
        <w:t xml:space="preserve">(Liu, Makarov, and Schoar 2023)</w:t>
      </w:r>
      <w:r>
        <w:t xml:space="preserve">,</w:t>
      </w:r>
      <w:r>
        <w:t xml:space="preserve"> </w:t>
      </w:r>
      <w:r>
        <w:t xml:space="preserve">DeFi liquidations</w:t>
      </w:r>
      <w:r>
        <w:t xml:space="preserve"> </w:t>
      </w:r>
      <w:r>
        <w:t xml:space="preserve">(Qin et al. 2021)</w:t>
      </w:r>
      <w:r>
        <w:t xml:space="preserve">, and prediction and forensics</w:t>
      </w:r>
      <w:r>
        <w:t xml:space="preserve"> </w:t>
      </w:r>
      <w:r>
        <w:t xml:space="preserve">(Akcora et al. 2018; Meiklejohn et al. 2013; Weber et al. 2019)</w:t>
      </w:r>
      <w:r>
        <w:t xml:space="preserve">. Recent crypto work is descriptive or price-based:</w:t>
      </w:r>
      <w:r>
        <w:t xml:space="preserve"> </w:t>
      </w:r>
      <w:r>
        <w:t xml:space="preserve">Sankaewtong et al. (2026)</w:t>
      </w:r>
      <w:r>
        <w:t xml:space="preserve"> </w:t>
      </w:r>
      <w:r>
        <w:t xml:space="preserve">trace USDC depeg contagion through transactions without interventional semantics,</w:t>
      </w:r>
      <w:r>
        <w:t xml:space="preserve"> </w:t>
      </w:r>
      <w:r>
        <w:t xml:space="preserve">Zhang et al. (2026)</w:t>
      </w:r>
      <w:r>
        <w:t xml:space="preserve"> </w:t>
      </w:r>
      <w:r>
        <w:t xml:space="preserve">use correlations of total-value-locked series, and counterfactual analysis has so far reached</w:t>
      </w:r>
      <w:r>
        <w:t xml:space="preserve"> </w:t>
      </w:r>
      <w:r>
        <w:t xml:space="preserve">credit-portfolio losses</w:t>
      </w:r>
      <w:r>
        <w:t xml:space="preserve"> </w:t>
      </w:r>
      <w:r>
        <w:t xml:space="preserve">(Xu 2025)</w:t>
      </w:r>
      <w:r>
        <w:t xml:space="preserve">. None treats the ledger graph as a structural causal model for a</w:t>
      </w:r>
      <w:r>
        <w:t xml:space="preserve"> </w:t>
      </w:r>
      <w:r>
        <w:t xml:space="preserve">systemic-risk measure. To our knowledge, no published work combines an observed, ledger-specified graph as the parent set of a</w:t>
      </w:r>
      <w:r>
        <w:t xml:space="preserve"> </w:t>
      </w:r>
      <w:r>
        <w:t xml:space="preserve">structural causal model with a counterfactual Shapley attribution of systemic loss. The paper also measures, out of</w:t>
      </w:r>
      <w:r>
        <w:t xml:space="preserve"> </w:t>
      </w:r>
      <w:r>
        <w:t xml:space="preserve">sample against an own-lag baseline, how much ledger-specified propagation explains.</w:t>
      </w:r>
    </w:p>
    <w:bookmarkEnd w:id="23"/>
    <w:bookmarkStart w:id="37" w:name="sec:method"/>
    <w:p>
      <w:pPr>
        <w:pStyle w:val="Heading1"/>
      </w:pPr>
      <w:r>
        <w:t xml:space="preserve">The VEIN Framework</w:t>
      </w:r>
    </w:p>
    <w:bookmarkStart w:id="25" w:name="subsec:scm"/>
    <w:p>
      <w:pPr>
        <w:pStyle w:val="Heading2"/>
      </w:pPr>
      <w:r>
        <w:t xml:space="preserve">Structural causal model and identification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E</m:t>
            </m:r>
          </m:e>
        </m:d>
      </m:oMath>
      <w:r>
        <w:t xml:space="preserve"> </w:t>
      </w:r>
      <w:r>
        <w:t xml:space="preserve">be a directed, timestamped, dollar-weighted graph of resolved entities</w:t>
      </w:r>
      <w:r>
        <w:t xml:space="preserve"> </w:t>
      </w:r>
      <w:r>
        <w:t xml:space="preserve">(exchanges, lending protocols, stablecoin issuers, custodians and an aggregate retail node)</w:t>
      </w:r>
      <w:r>
        <w:t xml:space="preserve"> </w:t>
      </w:r>
      <w:r>
        <w:t xml:space="preserve">whose edges are observed on-chain flows. For entity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period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track a stress</w:t>
      </w:r>
      <w:r>
        <w:t xml:space="preserve"> </w:t>
      </w:r>
      <w:r>
        <w:t xml:space="preserve">state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, oriented so that larger means more distressed, the flow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rPr>
                <m:sty m:val="p"/>
              </m:rPr>
              <m:t>→</m:t>
            </m:r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 an exogenous shock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. The structural equation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→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{</m:t>
          </m:r>
          <m:r>
            <m:t> </m:t>
          </m:r>
          <m:r>
            <m:t>p</m:t>
          </m:r>
          <m:r>
            <m:rPr>
              <m:sty m:val="p"/>
            </m:rPr>
            <m:t>∈</m:t>
          </m:r>
          <m:r>
            <m:t>V</m:t>
          </m:r>
          <m:r>
            <m:rPr>
              <m:sty m:val="p"/>
            </m:rPr>
            <m:t>: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→</m:t>
              </m:r>
              <m:r>
                <m:t>i</m:t>
              </m:r>
            </m:e>
          </m:d>
          <m:r>
            <m:rPr>
              <m:sty m:val="p"/>
            </m:rPr>
            <m:t>∈</m:t>
          </m:r>
          <m:r>
            <m:t>E</m:t>
          </m:r>
          <m:r>
            <m:t> 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assumptions A1–A3 below, the in-neighbours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specify its parent set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from the ledger, so only the propagation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requires estimation. We use a</w:t>
      </w:r>
      <w:r>
        <w:t xml:space="preserve"> </w:t>
      </w:r>
      <w:r>
        <w:t xml:space="preserve">ridge-regularised linear specification,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</m:nary>
          <m:r>
            <m:t> </m:t>
          </m:r>
          <m:sSub>
            <m:e>
              <m:r>
                <m:t>S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→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parameters estimated on a pre-crisis window; the fitted residuals furnish the shock</w:t>
      </w:r>
      <w:r>
        <w:t xml:space="preserve"> </w:t>
      </w:r>
      <w:r>
        <w:t xml:space="preserve">distribution. The equation has no own lag by design: the parent set is the ledger in-neighbourhood.</w:t>
      </w:r>
      <w:r>
        <w:t xml:space="preserve"> </w:t>
      </w:r>
      <w:r>
        <w:t xml:space="preserve">Section </w:t>
      </w:r>
      <w:hyperlink w:anchor="subsec:explained">
        <w:r>
          <w:rPr>
            <w:rStyle w:val="Hyperlink"/>
          </w:rPr>
          <w:t xml:space="preserve">5.1</w:t>
        </w:r>
      </w:hyperlink>
      <w:r>
        <w:t xml:space="preserve"> </w:t>
      </w:r>
      <w:r>
        <w:t xml:space="preserve">measures what this omission costs.</w:t>
      </w:r>
    </w:p>
    <w:p>
      <w:pPr>
        <w:pStyle w:val="BodyText"/>
      </w:pPr>
      <w:r>
        <w:t xml:space="preserve">Every parent enters at lag</w:t>
      </w:r>
      <w:r>
        <w:t xml:space="preserve"> </w:t>
      </w:r>
      <m:oMath>
        <m:r>
          <m:t>t</m:t>
        </m:r>
        <m:r>
          <m:t>​</m:t>
        </m:r>
        <m:r>
          <m:rPr>
            <m:sty m:val="p"/>
          </m:rPr>
          <m:t>−</m:t>
        </m:r>
        <m:r>
          <m:t>​</m:t>
        </m:r>
        <m:r>
          <m:t>1</m:t>
        </m:r>
      </m:oMath>
      <w:r>
        <w:t xml:space="preserve"> </w:t>
      </w:r>
      <w:r>
        <w:t xml:space="preserve">in the stress term, so the system is well posed even</w:t>
      </w:r>
      <w:r>
        <w:t xml:space="preserve"> </w:t>
      </w:r>
      <w:r>
        <w:t xml:space="preserve">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cycles.</w:t>
      </w:r>
    </w:p>
    <w:bookmarkStart w:id="24" w:name="prop:wellposed"/>
    <w:p>
      <w:pPr>
        <w:pStyle w:val="BodyText"/>
      </w:pPr>
      <w:r>
        <w:rPr>
          <w:bCs/>
          <w:b/>
        </w:rPr>
        <w:t xml:space="preserve">Proposition 1</w:t>
      </w:r>
      <w:r>
        <w:t xml:space="preserve"> </w:t>
      </w:r>
      <w:r>
        <w:t xml:space="preserve">(Well-posedness of the lagged system).</w:t>
      </w:r>
      <w:r>
        <w:t xml:space="preserve"> </w:t>
      </w:r>
      <w:r>
        <w:t xml:space="preserve"> </w:t>
      </w:r>
      <w:r>
        <w:rPr>
          <w:iCs/>
          <w:i/>
        </w:rPr>
        <w:t xml:space="preserve">Given</w:t>
      </w:r>
      <w:r>
        <w:rPr>
          <w:iCs/>
          <w:i/>
        </w:rP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and a shock path, the trajectory generated by</w:t>
      </w:r>
      <w:r>
        <w:rPr>
          <w:iCs/>
          <w:i/>
        </w:rPr>
        <w:t xml:space="preserve"> </w:t>
      </w:r>
      <w:hyperlink w:anchor="eq:fi">
        <w:r>
          <w:rPr>
            <w:rStyle w:val="Hyperlink"/>
            <w:iCs/>
            <w:i/>
          </w:rPr>
          <w:t xml:space="preserve">[eq:fi]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is</w:t>
      </w:r>
      <w:r>
        <w:rPr>
          <w:iCs/>
          <w:i/>
        </w:rPr>
        <w:t xml:space="preserve"> </w:t>
      </w:r>
      <w:r>
        <w:rPr>
          <w:iCs/>
          <w:i/>
        </w:rPr>
        <w:t xml:space="preserve">uniquely determined by forward iteration, even when</w:t>
      </w:r>
      <w:r>
        <w:rPr>
          <w:iCs/>
          <w:i/>
        </w:rPr>
        <w:t xml:space="preserve"> </w:t>
      </w:r>
      <m:oMath>
        <m:r>
          <m:t>G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contains directed cycles.</w:t>
      </w:r>
    </w:p>
    <w:bookmarkEnd w:id="24"/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right-hand side of</w:t>
      </w:r>
      <w:r>
        <w:t xml:space="preserve"> </w:t>
      </w:r>
      <w:hyperlink w:anchor="eq:fi">
        <w:r>
          <w:rPr>
            <w:rStyle w:val="Hyperlink"/>
          </w:rPr>
          <w:t xml:space="preserve">[eq:fi]</w:t>
        </w:r>
      </w:hyperlink>
      <w:r>
        <w:t xml:space="preserve"> </w:t>
      </w:r>
      <w:r>
        <w:t xml:space="preserve">references only stress at</w:t>
      </w:r>
      <w:r>
        <w:t xml:space="preserve"> </w:t>
      </w:r>
      <m:oMath>
        <m:r>
          <m:t>t</m:t>
        </m:r>
        <m:r>
          <m:t>​</m:t>
        </m:r>
        <m:r>
          <m:rPr>
            <m:sty m:val="p"/>
          </m:rPr>
          <m:t>−</m:t>
        </m:r>
        <m:r>
          <m:t>​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exogenous quantities at</w:t>
      </w:r>
      <w:r>
        <w:t xml:space="preserve"> </w:t>
      </w:r>
      <m:oMath>
        <m:r>
          <m:t>t</m:t>
        </m:r>
      </m:oMath>
      <w:r>
        <w:t xml:space="preserve">. Induction 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gives existence and uniqueness. ◻</w:t>
      </w:r>
    </w:p>
    <w:p>
      <w:pPr>
        <w:pStyle w:val="BodyText"/>
      </w:pPr>
      <w:r>
        <w:t xml:space="preserve">Identification rests on three assumptions.</w:t>
      </w:r>
      <w:r>
        <w:t xml:space="preserve"> </w:t>
      </w:r>
      <w:r>
        <w:rPr>
          <w:iCs/>
          <w:i/>
        </w:rPr>
        <w:t xml:space="preserve">Temporal precedence</w:t>
      </w:r>
      <w:r>
        <w:t xml:space="preserve"> </w:t>
      </w:r>
      <w:r>
        <w:t xml:space="preserve">(A1): a flow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  <m:r>
              <m:rPr>
                <m:sty m:val="p"/>
              </m:rPr>
              <m:t>→</m:t>
            </m:r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precedes any effect 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′</m:t>
        </m:r>
        <m:r>
          <m:rPr>
            <m:sty m:val="p"/>
          </m:rPr>
          <m:t>&gt;</m:t>
        </m:r>
        <m:r>
          <m:t>t</m:t>
        </m:r>
      </m:oMath>
      <w:r>
        <w:t xml:space="preserve">. Block timestamps make this</w:t>
      </w:r>
      <w:r>
        <w:t xml:space="preserve"> </w:t>
      </w:r>
      <w:r>
        <w:t xml:space="preserve">observable, but they show only that a transfer could not be an effect of later stress, not</w:t>
      </w:r>
      <w:r>
        <w:t xml:space="preserve"> </w:t>
      </w:r>
      <w:r>
        <w:t xml:space="preserve">that it is the operative cause.</w:t>
      </w:r>
      <w:r>
        <w:t xml:space="preserve"> </w:t>
      </w:r>
      <w:r>
        <w:rPr>
          <w:iCs/>
          <w:i/>
        </w:rPr>
        <w:t xml:space="preserve">No unobserved common cause for flow edges</w:t>
      </w:r>
      <w:r>
        <w:t xml:space="preserve"> </w:t>
      </w:r>
      <w:r>
        <w:t xml:space="preserve">(A2): given</w:t>
      </w:r>
      <w:r>
        <w:t xml:space="preserve"> </w:t>
      </w:r>
      <w:r>
        <w:t xml:space="preserve">the graph up to</w:t>
      </w:r>
      <w:r>
        <w:t xml:space="preserve"> </w:t>
      </w:r>
      <m:oMath>
        <m:r>
          <m:t>t</m:t>
        </m:r>
      </m:oMath>
      <w:r>
        <w:t xml:space="preserve">, an edge</w:t>
      </w:r>
      <w:r>
        <w:t xml:space="preserve"> </w:t>
      </w:r>
      <m:oMath>
        <m:r>
          <m:t>i</m:t>
        </m:r>
        <m:r>
          <m:rPr>
            <m:sty m:val="p"/>
          </m:rPr>
          <m:t>→</m:t>
        </m:r>
        <m:r>
          <m:t>j</m:t>
        </m:r>
      </m:oMath>
      <w:r>
        <w:t xml:space="preserve"> </w:t>
      </w:r>
      <w:r>
        <w:t xml:space="preserve">reflects</w:t>
      </w:r>
      <w:r>
        <w:t xml:space="preserve"> </w:t>
      </w:r>
      <m:oMath>
        <m:r>
          <m:t>i</m:t>
        </m:r>
      </m:oMath>
      <w:r>
        <w:t xml:space="preserve">’s direct action on</w:t>
      </w:r>
      <w:r>
        <w:t xml:space="preserve"> </w:t>
      </w:r>
      <m:oMath>
        <m:r>
          <m:t>j</m:t>
        </m:r>
      </m:oMath>
      <w:r>
        <w:t xml:space="preserve">. This is the</w:t>
      </w:r>
      <w:r>
        <w:t xml:space="preserve"> </w:t>
      </w:r>
      <w:r>
        <w:t xml:space="preserve">strongest assumption, because the ledger does not record off-chain decisions such as a</w:t>
      </w:r>
      <w:r>
        <w:t xml:space="preserve"> </w:t>
      </w:r>
      <w:r>
        <w:t xml:space="preserve">CEX-internal pricing engine, an oracle update or coordinated withdrawals, any of which can</w:t>
      </w:r>
      <w:r>
        <w:t xml:space="preserve"> </w:t>
      </w:r>
      <w:r>
        <w:t xml:space="preserve">drive both a flow and downstream stress. Section </w:t>
      </w:r>
      <w:hyperlink w:anchor="subsec:robustness">
        <w:r>
          <w:rPr>
            <w:rStyle w:val="Hyperlink"/>
          </w:rPr>
          <w:t xml:space="preserve">5.7</w:t>
        </w:r>
      </w:hyperlink>
      <w:r>
        <w:t xml:space="preserve"> </w:t>
      </w:r>
      <w:r>
        <w:t xml:space="preserve">reports robustness values that</w:t>
      </w:r>
      <w:r>
        <w:t xml:space="preserve"> </w:t>
      </w:r>
      <w:r>
        <w:t xml:space="preserve">bound but do not remove this threat.</w:t>
      </w:r>
      <w:r>
        <w:t xml:space="preserve"> </w:t>
      </w:r>
      <w:r>
        <w:rPr>
          <w:iCs/>
          <w:i/>
        </w:rPr>
        <w:t xml:space="preserve">Monotone propagation along flow direction</w:t>
      </w:r>
      <w:r>
        <w:t xml:space="preserve"> </w:t>
      </w:r>
      <w:r>
        <w:t xml:space="preserve">(A3): distress</w:t>
      </w:r>
      <w:r>
        <w:t xml:space="preserve"> </w:t>
      </w:r>
      <w:r>
        <w:t xml:space="preserve">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 through realised flow paths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. A3 carries the</w:t>
      </w:r>
      <w:r>
        <w:t xml:space="preserve"> </w:t>
      </w:r>
      <w:r>
        <w:t xml:space="preserve">empirical content; edge reversal (Section </w:t>
      </w:r>
      <w:hyperlink w:anchor="subsec:design">
        <w:r>
          <w:rPr>
            <w:rStyle w:val="Hyperlink"/>
          </w:rPr>
          <w:t xml:space="preserve">3.5</w:t>
        </w:r>
      </w:hyperlink>
      <w:r>
        <w:t xml:space="preserve">) is a diagnostic of it, not an identification test.</w:t>
      </w:r>
    </w:p>
    <w:bookmarkEnd w:id="25"/>
    <w:bookmarkStart w:id="26" w:name="subsec:risk"/>
    <w:p>
      <w:pPr>
        <w:pStyle w:val="Heading2"/>
      </w:pPr>
      <w:r>
        <w:t xml:space="preserve">Interventional and counterfactual risk measures</w:t>
      </w:r>
    </w:p>
    <w:p>
      <w:pPr>
        <w:pStyle w:val="FirstParagraph"/>
      </w:pPr>
      <w:r>
        <w:t xml:space="preserve">Over an event window</w:t>
      </w:r>
      <w:r>
        <w:t xml:space="preserve"> </w:t>
      </w:r>
      <m:oMath>
        <m:r>
          <m:rPr>
            <m:sty m:val="p"/>
            <m:scr m:val="script"/>
          </m:rPr>
          <m:t>T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  <m:r>
              <m:rPr>
                <m:sty m:val="p"/>
              </m:rPr>
              <m:t>∈</m:t>
            </m:r>
            <m:r>
              <m:rPr>
                <m:sty m:val="p"/>
                <m:scr m:val="script"/>
              </m:rP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max</m:t>
            </m:r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The</w:t>
      </w:r>
      <w:r>
        <w:t xml:space="preserve"> </w:t>
      </w:r>
      <w:r>
        <w:t xml:space="preserve">interventional measure applies Pearl’s do-operator to</w:t>
      </w:r>
      <w:r>
        <w:t xml:space="preserve"> </w:t>
      </w:r>
      <w:hyperlink w:anchor="eq:scm">
        <w:r>
          <w:rPr>
            <w:rStyle w:val="Hyperlink"/>
          </w:rPr>
          <w:t xml:space="preserve">[eq:scm]</w:t>
        </w:r>
      </w:hyperlink>
      <w:r>
        <w:t xml:space="preserve">: entity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forced</w:t>
      </w:r>
      <w:r>
        <w:t xml:space="preserve"> </w:t>
      </w:r>
      <w:r>
        <w:t xml:space="preserve">to a distressed level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its parents are severed, and the system is propagated</w:t>
      </w:r>
      <w:r>
        <w:t xml:space="preserve"> </w:t>
      </w:r>
      <w:r>
        <w:t xml:space="preserve">forward. On-Chain Causal CoVaR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OC-CoVaR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(</m:t>
          </m:r>
          <m:r>
            <m:t>j</m:t>
          </m:r>
          <m:r>
            <m:t> </m:t>
          </m:r>
          <m:d>
            <m:dPr>
              <m:begChr m:val="|"/>
              <m:endChr m:val=")"/>
              <m:sepChr m:val=""/>
              <m:grow/>
            </m:dPr>
            <m:e>
              <m:r>
                <m:t> 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e>
            <m:sub>
              <m:r>
                <m:t>q</m:t>
              </m:r>
            </m:sub>
          </m:sSub>
          <m:r>
            <m:t>​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j</m:t>
              </m:r>
            </m:sub>
          </m:sSub>
          <m:r>
            <m:t> </m:t>
          </m:r>
          <m:d>
            <m:dPr>
              <m:begChr m:val="|"/>
              <m:endChr m:val=")"/>
              <m:sepChr m:val=""/>
              <m:grow/>
            </m:dPr>
            <m:e>
              <m:r>
                <m:t> 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estimated by Monte-Carlo propagation. Each simulated shock path is a circular block draw of joint fitted-residual rows</w:t>
      </w:r>
      <w:r>
        <w:t xml:space="preserve"> </w:t>
      </w:r>
      <w:r>
        <w:t xml:space="preserve">with 24-hour blocks, so all entities share the drawn hours (Section </w:t>
      </w:r>
      <w:hyperlink w:anchor="subsec:uncertainty">
        <w:r>
          <w:rPr>
            <w:rStyle w:val="Hyperlink"/>
          </w:rPr>
          <w:t xml:space="preserve">3.4</w:t>
        </w:r>
      </w:hyperlink>
      <w:r>
        <w:t xml:space="preserve">). The marginal</w:t>
      </w:r>
      <w:r>
        <w:t xml:space="preserve"> </w:t>
      </w:r>
      <w:r>
        <w:t xml:space="preserve">contribution contrasts the distressed intervention with the median state,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rPr>
                  <m:nor/>
                  <m:sty m:val="p"/>
                </m:rPr>
                <m:t>OC-CoVaR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(</m:t>
          </m:r>
          <m:r>
            <m:t>j</m:t>
          </m:r>
          <m:r>
            <m:t> </m:t>
          </m:r>
          <m:d>
            <m:dPr>
              <m:begChr m:val="|"/>
              <m:endChr m:val="|"/>
              <m:sepChr m:val=""/>
              <m:grow/>
            </m:dPr>
            <m:e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rPr>
                  <m:sty m:val="p"/>
                </m:rPr>
                <m:t>=</m:t>
              </m:r>
              <m:r>
                <m:t> </m:t>
              </m:r>
              <m:sSub>
                <m:e>
                  <m:r>
                    <m:rPr>
                      <m:nor/>
                      <m:sty m:val="p"/>
                    </m:rPr>
                    <m:t>OC-CoVaR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r>
                <m:t>j</m:t>
              </m:r>
              <m:r>
                <m:t> 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nor/>
                  <m:sty m:val="p"/>
                </m:rPr>
                <m:t>OC-CoVaR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 0.95 quantile of</w:t>
      </w:r>
      <w:r>
        <w:t xml:space="preserve"> </w:t>
      </w:r>
      <m:oMath>
        <m:r>
          <m:t>i</m:t>
        </m:r>
      </m:oMath>
      <w:r>
        <w:t xml:space="preserve">’s fit-window stress (the event window is excluded).</w:t>
      </w:r>
      <w:r>
        <w:t xml:space="preserve"> </w:t>
      </w:r>
      <w:r>
        <w:t xml:space="preserve">Entities are ranked by exported tail</w:t>
      </w:r>
      <w:r>
        <w:t xml:space="preserve"> </w:t>
      </w:r>
      <w:r>
        <w:t xml:space="preserve">risk</w:t>
      </w:r>
      <w:r>
        <w:t xml:space="preserve"> </w:t>
      </w:r>
      <m:oMath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≠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max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Δ</m:t>
            </m:r>
            <m:sSub>
              <m:e>
                <m:r>
                  <m:rPr>
                    <m:nor/>
                    <m:sty m:val="p"/>
                  </m:rPr>
                  <m:t>OC-CoVaR</m:t>
                </m:r>
              </m:e>
              <m:sub>
                <m:r>
                  <m:t>q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j</m:t>
                </m:r>
                <m:r>
                  <m:t> 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i</m:t>
                </m:r>
              </m:e>
            </m:d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</w:t>
      </w:r>
    </w:p>
    <w:p>
      <w:pPr>
        <w:pStyle w:val="BodyText"/>
      </w:pPr>
      <w:r>
        <w:t xml:space="preserve">The counterfactual measure sits one level higher. Following the abduction–action–prediction</w:t>
      </w:r>
      <w:r>
        <w:t xml:space="preserve"> </w:t>
      </w:r>
      <w:r>
        <w:t xml:space="preserve">procedure</w:t>
      </w:r>
      <w:r>
        <w:t xml:space="preserve"> </w:t>
      </w:r>
      <w:r>
        <w:t xml:space="preserve">(Pearl 2009, 2019)</w:t>
      </w:r>
      <w:r>
        <w:t xml:space="preserve">, we replace</w:t>
      </w:r>
      <w:r>
        <w:t xml:space="preserve"> </w:t>
      </w:r>
      <m:oMath>
        <m:r>
          <m:t>i</m:t>
        </m:r>
      </m:oMath>
      <w:r>
        <w:t xml:space="preserve">’s realised path by its</w:t>
      </w:r>
      <w:r>
        <w:t xml:space="preserve"> </w:t>
      </w:r>
      <w:r>
        <w:t xml:space="preserve">pre-crisis level</w:t>
      </w:r>
      <w:r>
        <w:t xml:space="preserve"> </w:t>
      </w:r>
      <m:oMath>
        <m:sSubSup>
          <m:e>
            <m:r>
              <m:t>S</m:t>
            </m:r>
          </m:e>
          <m:sub>
            <m:r>
              <m:t>i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p>
        </m:sSubSup>
      </m:oMath>
      <w:r>
        <w:t xml:space="preserve">, hold the other entities’ abduced shocks fixed, and</w:t>
      </w:r>
      <w:r>
        <w:t xml:space="preserve"> </w:t>
      </w:r>
      <w:r>
        <w:t xml:space="preserve">predict the change in</w:t>
      </w:r>
      <w:r>
        <w:t xml:space="preserve"> </w:t>
      </w:r>
      <m:oMath>
        <m:r>
          <m:t>j</m:t>
        </m:r>
      </m:oMath>
      <w:r>
        <w:t xml:space="preserve">’s loss. With</w:t>
      </w:r>
      <w:r>
        <w:t xml:space="preserve"> </w:t>
      </w:r>
      <m:oMath>
        <m:sSubSup>
          <m:e>
            <m:r>
              <m:t>L</m:t>
            </m:r>
          </m:e>
          <m:sub>
            <m:r>
              <m:t>j</m:t>
            </m:r>
          </m:sub>
          <m:sup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p>
        </m:sSubSup>
      </m:oMath>
      <w:r>
        <w:t xml:space="preserve"> </w:t>
      </w:r>
      <w:r>
        <w:t xml:space="preserve">the loss in the reference</w:t>
      </w:r>
      <w:r>
        <w:t xml:space="preserve"> </w:t>
      </w:r>
      <w:r>
        <w:t xml:space="preserve">(factual) world,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Δ</m:t>
              </m:r>
            </m:e>
            <m:sub>
              <m:r>
                <m:t>i</m:t>
              </m:r>
            </m:sub>
            <m:sup>
              <m:r>
                <m:t>C</m:t>
              </m:r>
              <m:r>
                <m:t>F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sSubSup>
            <m:e>
              <m:r>
                <m:t>L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L</m:t>
              </m:r>
            </m:e>
            <m:sub>
              <m:r>
                <m:t>j</m:t>
              </m:r>
            </m:sub>
            <m:sup>
              <m:r>
                <m:t> 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nor/>
                          <m:sty m:val="p"/>
                        </m:rPr>
                        <m:t>pre</m:t>
                      </m:r>
                    </m:sup>
                  </m:sSubSup>
                </m:e>
              </m:d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share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Sup>
                <m:e>
                  <m: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F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</m:e>
              </m:d>
            </m:num>
            <m:den>
              <m:sSubSup>
                <m:e>
                  <m:r>
                    <m:t>L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 shocks are obtained by inverting the fitted equations on the observed path. 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  <m:scr m:val="script"/>
          </m:rP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S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</m:nary>
          <m:r>
            <m:t> </m:t>
          </m:r>
          <m:sSub>
            <m:e>
              <m:r>
                <m:t>S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</m:nary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→</m:t>
                  </m:r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includes</w:t>
      </w:r>
      <w:r>
        <w:t xml:space="preserve"> </w:t>
      </w:r>
      <m:oMath>
        <m:r>
          <m:t>j</m:t>
        </m:r>
      </m:oMath>
      <w:r>
        <w:t xml:space="preserve">’s own idiosyncratic shocks. With these shocks the factual path reproduces the</w:t>
      </w:r>
      <w:r>
        <w:t xml:space="preserve"> </w:t>
      </w:r>
      <w:r>
        <w:t xml:space="preserve">observed path to machine precision, and</w:t>
      </w:r>
      <w:r>
        <w:t xml:space="preserve"> </w:t>
      </w:r>
      <m:oMath>
        <m:sSubSup>
          <m:e>
            <m:r>
              <m:t>L</m:t>
            </m:r>
          </m:e>
          <m:sub>
            <m:r>
              <m:t>j</m:t>
            </m:r>
          </m:sub>
          <m:sup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p>
        </m:sSubSup>
      </m:oMath>
      <w:r>
        <w:t xml:space="preserve"> </w:t>
      </w:r>
      <w:r>
        <w:t xml:space="preserve">is</w:t>
      </w:r>
      <w:r>
        <w:t xml:space="preserve"> </w:t>
      </w:r>
      <m:oMath>
        <m:r>
          <m:t>j</m:t>
        </m:r>
      </m:oMath>
      <w:r>
        <w:t xml:space="preserve">’s realised hinge loss.</w:t>
      </w:r>
      <w:r>
        <w:t xml:space="preserve"> </w:t>
      </w:r>
      <w:r>
        <w:t xml:space="preserve">The attribution is model-relative: it holds the other entities’ abduced shocks fixed rather than</w:t>
      </w:r>
      <w:r>
        <w:t xml:space="preserve"> </w:t>
      </w:r>
      <w:r>
        <w:t xml:space="preserve">solving the cross-world equilibrium.</w:t>
      </w:r>
    </w:p>
    <w:p>
      <w:pPr>
        <w:pStyle w:val="BodyText"/>
      </w:pPr>
      <w:r>
        <w:rPr>
          <w:bCs/>
          <w:b/>
        </w:rPr>
        <w:t xml:space="preserve">Remark 1</w:t>
      </w:r>
      <w:r>
        <w:t xml:space="preserve"> </w:t>
      </w:r>
      <w:r>
        <w:t xml:space="preserve">(Zero-shock abduction).</w:t>
      </w:r>
      <w:r>
        <w:t xml:space="preserve"> </w:t>
      </w:r>
      <w:r>
        <w:t xml:space="preserve"> </w:t>
      </w:r>
      <w:r>
        <w:rPr>
          <w:iCs/>
          <w:i/>
        </w:rPr>
        <w:t xml:space="preserve">Setting</w:t>
      </w:r>
      <w:r>
        <w:rPr>
          <w:iCs/>
          <w:i/>
        </w:rPr>
        <w:t xml:space="preserve"> </w:t>
      </w:r>
      <m:oMath>
        <m:acc>
          <m:accPr>
            <m:chr m:val="̂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on the event window gives a model-implied factual path. By Proposition </w:t>
      </w:r>
      <w:hyperlink w:anchor="prop:B">
        <w:r>
          <w:rPr>
            <w:rStyle w:val="Hyperlink"/>
            <w:iCs/>
            <w:i/>
          </w:rPr>
          <w:t xml:space="preserve">3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the deviation</w:t>
      </w:r>
      <w:r>
        <w:rPr>
          <w:iCs/>
          <w:i/>
        </w:rPr>
        <w:t xml:space="preserve"> </w:t>
      </w:r>
      <m:oMath>
        <m:r>
          <m:t>r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is identical under both abductions, so the numerator differs only through the</w:t>
      </w:r>
      <w:r>
        <w:rPr>
          <w:iCs/>
          <w:i/>
        </w:rPr>
        <w:t xml:space="preserve"> </w:t>
      </w:r>
      <w:r>
        <w:rPr>
          <w:iCs/>
          <w:i/>
        </w:rPr>
        <w:t xml:space="preserve">hinge. The denominator</w:t>
      </w:r>
      <w:r>
        <w:rPr>
          <w:iCs/>
          <w:i/>
        </w:rPr>
        <w:t xml:space="preserve"> </w:t>
      </w:r>
      <m:oMath>
        <m:sSubSup>
          <m:e>
            <m:r>
              <m:t>L</m:t>
            </m:r>
          </m:e>
          <m:sub>
            <m:r>
              <m:t>j</m:t>
            </m:r>
          </m:sub>
          <m:sup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p>
        </m:sSubSup>
      </m:oMath>
      <w:r>
        <w:rPr>
          <w:iCs/>
          <w:i/>
        </w:rPr>
        <w:t xml:space="preserve">, however, shrinks to the part of stress the model</w:t>
      </w:r>
      <w:r>
        <w:rPr>
          <w:iCs/>
          <w:i/>
        </w:rPr>
        <w:t xml:space="preserve"> </w:t>
      </w:r>
      <w:r>
        <w:rPr>
          <w:iCs/>
          <w:i/>
        </w:rPr>
        <w:t xml:space="preserve">generates without shocks, which pushes shares towards one. Section </w:t>
      </w:r>
      <w:hyperlink w:anchor="subsec:attribution">
        <w:r>
          <w:rPr>
            <w:rStyle w:val="Hyperlink"/>
            <w:iCs/>
            <w:i/>
          </w:rPr>
          <w:t xml:space="preserve">5.2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quantifies this.</w:t>
      </w:r>
    </w:p>
    <w:p>
      <w:pPr>
        <w:pStyle w:val="BodyText"/>
      </w:pPr>
      <w:r>
        <w:t xml:space="preserve">$G \gets \textsc{ResolveEntities}(\text{transfers}, \text{labels})$</w:t>
      </w:r>
      <w:r>
        <w:t xml:space="preserve"> </w:t>
      </w:r>
      <w:r>
        <w:t xml:space="preserve">Fit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by ridge regression for each entity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its pre-event window</w:t>
      </w:r>
      <w:r>
        <w:t xml:space="preserve"> </w:t>
      </w:r>
      <m:oMath>
        <m:r>
          <m:t>Δ</m:t>
        </m:r>
        <m:sSub>
          <m:e>
            <m:r>
              <m:rPr>
                <m:nor/>
                <m:sty m:val="p"/>
              </m:rPr>
              <m:t>OC-CoVaR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j</m:t>
            </m:r>
            <m:r>
              <m:t> </m:t>
            </m:r>
            <m:r>
              <m:rPr>
                <m:sty m:val="p"/>
              </m:rPr>
              <m:t>|</m:t>
            </m:r>
            <m:r>
              <m:t> </m:t>
            </m:r>
            <m:r>
              <m:t>i</m:t>
            </m:r>
          </m:e>
        </m:d>
      </m:oMath>
      <w:r>
        <w:t xml:space="preserve"> </w:t>
      </w:r>
      <w:r>
        <w:t xml:space="preserve">by</w:t>
      </w:r>
      <w:r>
        <w:t xml:space="preserve"> </w:t>
      </w:r>
      <w:r>
        <w:rPr>
          <w:smallCaps/>
        </w:rPr>
        <w:t xml:space="preserve">MonteCarloPropagate</w:t>
      </w:r>
      <w:r>
        <w:t xml:space="preserve"> </w:t>
      </w:r>
      <w:r>
        <w:t xml:space="preserve">under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o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 </w:t>
      </w:r>
      <w:r>
        <w:rPr>
          <w:smallCaps/>
        </w:rPr>
        <w:t xml:space="preserve">Abduct</w:t>
      </w:r>
      <w:r>
        <w:t xml:space="preserve"> </w:t>
      </w:r>
      <w:r>
        <w:t xml:space="preserve">(full: invert the structural equations on the observed event path), then</w:t>
      </w:r>
      <w:r>
        <w:t xml:space="preserve"> </w:t>
      </w:r>
      <m:oMath>
        <m:sSubSup>
          <m:e>
            <m:r>
              <m:t>Δ</m:t>
            </m:r>
          </m:e>
          <m:sub>
            <m:r>
              <m:t>i</m:t>
            </m:r>
          </m:sub>
          <m:sup>
            <m:r>
              <m:t>C</m:t>
            </m:r>
            <m:r>
              <m:t>F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j</m:t>
            </m:r>
          </m:e>
        </m:d>
      </m:oMath>
      <w:r>
        <w:t xml:space="preserve"> </w:t>
      </w:r>
      <w:r>
        <w:t xml:space="preserve">by</w:t>
      </w:r>
      <w:r>
        <w:t xml:space="preserve"> </w:t>
      </w:r>
      <w:r>
        <w:rPr>
          <w:smallCaps/>
        </w:rPr>
        <w:t xml:space="preserve">Predict</w:t>
      </w:r>
      <w:r>
        <w:t xml:space="preserve"> </w:t>
      </w:r>
      <w:r>
        <w:t xml:space="preserve">under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o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Sup>
              <m:e>
                <m:r>
                  <m:t>S</m:t>
                </m:r>
              </m:e>
              <m:sub>
                <m:r>
                  <m:t>i</m:t>
                </m:r>
              </m:sub>
              <m:sup>
                <m:r>
                  <m:rPr>
                    <m:nor/>
                    <m:sty m:val="p"/>
                  </m:rPr>
                  <m:t>pre</m:t>
                </m:r>
              </m:sup>
            </m:sSubSup>
          </m:e>
        </m:d>
      </m:oMath>
      <w:r>
        <w:t xml:space="preserve"> </w:t>
      </w:r>
      <w:r>
        <w:t xml:space="preserve">Joint circular-block pairs bootstrap and Monte-Carlo repeats (Section </w:t>
      </w:r>
      <w:hyperlink w:anchor="subsec:uncertainty">
        <w:r>
          <w:rPr>
            <w:rStyle w:val="Hyperlink"/>
          </w:rPr>
          <w:t xml:space="preserve">3.4</w:t>
        </w:r>
      </w:hyperlink>
      <w:r>
        <w:t xml:space="preserve">)</w:t>
      </w:r>
      <w:r>
        <w:t xml:space="preserve"> </w:t>
      </w:r>
      <w:r>
        <w:t xml:space="preserve">Diagnostics: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versus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p>
        </m:sSup>
      </m:oMath>
      <w:r>
        <w:t xml:space="preserve"> </w:t>
      </w:r>
      <w:r>
        <w:t xml:space="preserve">and price-estimated graphs; placebos</w:t>
      </w:r>
      <w:r>
        <w:t xml:space="preserve"> </w:t>
      </w:r>
      <w:r>
        <w:rPr>
          <w:bCs/>
          <w:b/>
        </w:rPr>
        <w:t xml:space="preserve">Output:</w:t>
      </w:r>
      <w:r>
        <w:t xml:space="preserve"> </w:t>
      </w:r>
      <w:r>
        <w:t xml:space="preserve">OC-CoVaR ranking, counterfactual attributions, falsification and validity battery</w:t>
      </w:r>
    </w:p>
    <w:bookmarkEnd w:id="26"/>
    <w:bookmarkStart w:id="34" w:name="subsec:analytic"/>
    <w:p>
      <w:pPr>
        <w:pStyle w:val="Heading2"/>
      </w:pPr>
      <w:r>
        <w:t xml:space="preserve">Analytic properties and exact attribution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V</m:t>
            </m:r>
          </m:e>
        </m:d>
      </m:oMath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p</m:t>
        </m:r>
        <m:r>
          <m:rPr>
            <m:sty m:val="p"/>
          </m:rPr>
          <m:t>a</m:t>
        </m:r>
        <m:d>
          <m:dPr>
            <m:begChr m:val="("/>
            <m:endChr m:val=")"/>
            <m:sepChr m:val=""/>
            <m:grow/>
          </m:dPr>
          <m:e>
            <m:r>
              <m:t>j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 Over the window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, with a fixed</w:t>
      </w:r>
      <w:r>
        <w:t xml:space="preserve"> </w:t>
      </w:r>
      <w:r>
        <w:t xml:space="preserve">initial state,</w:t>
      </w:r>
      <w:r>
        <w:t xml:space="preserve"> </w:t>
      </w:r>
      <w:hyperlink w:anchor="eq:fi">
        <w:r>
          <w:rPr>
            <w:rStyle w:val="Hyperlink"/>
          </w:rPr>
          <w:t xml:space="preserve">[eq:fi]</w:t>
        </w:r>
      </w:hyperlink>
      <w:r>
        <w:t xml:space="preserve"> </w:t>
      </w:r>
      <w:r>
        <w:t xml:space="preserve">is the linear system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κ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κ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p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  <m:r>
                  <m:t>p</m:t>
                </m:r>
              </m:sub>
            </m:sSub>
          </m:e>
        </m:nary>
        <m:r>
          <m:rPr>
            <m:sty m:val="p"/>
          </m:rPr>
          <m:t>log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F</m:t>
                </m:r>
              </m:e>
              <m:sub>
                <m:r>
                  <m:t>p</m:t>
                </m:r>
                <m:r>
                  <m:rPr>
                    <m:sty m:val="p"/>
                  </m:rPr>
                  <m:t>→</m:t>
                </m:r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</m:e>
        </m:d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collects the</w:t>
      </w:r>
      <w:r>
        <w:t xml:space="preserve"> </w:t>
      </w:r>
      <w:r>
        <w:t xml:space="preserve">intercepts, flows and shocks. For an entity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define the</w:t>
      </w:r>
      <w:r>
        <w:t xml:space="preserve"> </w:t>
      </w:r>
      <w:r>
        <w:rPr>
          <w:iCs/>
          <w:i/>
        </w:rPr>
        <w:t xml:space="preserve">impulse</w:t>
      </w:r>
      <w:r>
        <w:t xml:space="preserve"> </w:t>
      </w:r>
      <m:oMath>
        <m:sSubSup>
          <m:e>
            <m:r>
              <m:t>τ</m:t>
            </m:r>
          </m:e>
          <m:sub>
            <m:r>
              <m:t>0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p>
        </m:sSubSup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sSubSup>
          <m:e>
            <m:r>
              <m:t>τ</m:t>
            </m:r>
          </m:e>
          <m:sub>
            <m:r>
              <m:t>t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p>
        </m:sSubSup>
        <m:r>
          <m:rPr>
            <m:sty m:val="p"/>
          </m:rPr>
          <m:t>=</m:t>
        </m:r>
        <m:r>
          <m:t>A</m:t>
        </m:r>
        <m:sSubSup>
          <m:e>
            <m:r>
              <m:t>τ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p>
        </m:sSubSup>
      </m:oMath>
      <w:r>
        <w:t xml:space="preserve"> </w:t>
      </w:r>
      <w:r>
        <w:t xml:space="preserve">with its</w:t>
      </w:r>
      <w:r>
        <w:t xml:space="preserve"> </w:t>
      </w:r>
      <m:oMath>
        <m:r>
          <m:t>i</m:t>
        </m:r>
      </m:oMath>
      <w:r>
        <w:t xml:space="preserve">-th coordinate reset to one. Write</w:t>
      </w:r>
      <w:r>
        <w:t xml:space="preserve"> </w:t>
      </w:r>
      <m:oMath>
        <m:sSub>
          <m:e>
            <m:r>
              <m:t>τ</m:t>
            </m:r>
          </m:e>
          <m:sub>
            <m:r>
              <m:t>j</m:t>
            </m:r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for the</w:t>
      </w:r>
      <w:r>
        <w:t xml:space="preserve"> </w:t>
      </w:r>
      <m:oMath>
        <m:r>
          <m:t>j</m:t>
        </m:r>
      </m:oMath>
      <w:r>
        <w:t xml:space="preserve">-th coordinate. The</w:t>
      </w:r>
      <w:r>
        <w:t xml:space="preserve"> </w:t>
      </w:r>
      <w:r>
        <w:t xml:space="preserve">impulse is the per-unit response of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holding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a unit distressed</w:t>
      </w:r>
      <w:r>
        <w:t xml:space="preserve"> </w:t>
      </w:r>
      <w:r>
        <w:t xml:space="preserve">level from the start of the window. Expanding the recursion shows that</w:t>
      </w:r>
      <w:r>
        <w:t xml:space="preserve"> </w:t>
      </w:r>
      <m:oMath>
        <m:sSub>
          <m:e>
            <m:r>
              <m:t>τ</m:t>
            </m:r>
          </m:e>
          <m:sub>
            <m:r>
              <m:t>j</m:t>
            </m:r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is a sum over walks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length at most</w:t>
      </w:r>
      <w:r>
        <w:t xml:space="preserve"> </w:t>
      </w:r>
      <m:oMath>
        <m:r>
          <m:t>t</m:t>
        </m:r>
      </m:oMath>
      <w:r>
        <w:t xml:space="preserve">, each walk weighted by the</w:t>
      </w:r>
      <w:r>
        <w:t xml:space="preserve"> </w:t>
      </w:r>
      <w:r>
        <w:t xml:space="preserve">product of its coefficients and not revisiting</w:t>
      </w:r>
      <w:r>
        <w:t xml:space="preserve"> </w:t>
      </w:r>
      <m:oMath>
        <m:r>
          <m:t>i</m:t>
        </m:r>
      </m:oMath>
      <w:r>
        <w:t xml:space="preserve">. In particular</w:t>
      </w:r>
      <w:r>
        <w:t xml:space="preserve"> </w:t>
      </w:r>
      <m:oMath>
        <m:sSub>
          <m:e>
            <m:r>
              <m:t>τ</m:t>
            </m:r>
          </m:e>
          <m:sub>
            <m:r>
              <m:t>j</m:t>
            </m:r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requires a directed path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length at most</w:t>
      </w:r>
      <w:r>
        <w:t xml:space="preserve"> </w:t>
      </w:r>
      <m:oMath>
        <m:r>
          <m:t>t</m:t>
        </m:r>
      </m:oMath>
      <w:r>
        <w:t xml:space="preserve">.</w:t>
      </w:r>
    </w:p>
    <w:bookmarkStart w:id="27" w:name="prop:A"/>
    <w:p>
      <w:pPr>
        <w:pStyle w:val="BodyText"/>
      </w:pPr>
      <w:r>
        <w:rPr>
          <w:bCs/>
          <w:b/>
        </w:rPr>
        <w:t xml:space="preserve">Proposition 2</w:t>
      </w:r>
      <w:r>
        <w:t xml:space="preserve"> </w:t>
      </w:r>
      <w:r>
        <w:t xml:space="preserve">(Flow-free bounds on the intervention).</w:t>
      </w:r>
      <w:r>
        <w:t xml:space="preserve"> </w:t>
      </w:r>
      <w:r>
        <w:t xml:space="preserve"> </w:t>
      </w:r>
      <w:r>
        <w:rPr>
          <w:iCs/>
          <w:i/>
        </w:rPr>
        <w:t xml:space="preserve">Fix</w:t>
      </w:r>
      <w:r>
        <w:rPr>
          <w:iCs/>
          <w:i/>
        </w:rPr>
        <w:t xml:space="preserve"> </w:t>
      </w:r>
      <m:oMath>
        <m:r>
          <m:t>i</m:t>
        </m:r>
      </m:oMath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m:oMath>
        <m:r>
          <m:t>T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iCs/>
          <w:i/>
        </w:rPr>
        <w:t xml:space="preserve">. Let</w:t>
      </w:r>
      <w:r>
        <w:rPr>
          <w:iCs/>
          <w:i/>
        </w:rPr>
        <w:t xml:space="preserve"> </w:t>
      </w:r>
      <m:oMath>
        <m:sSup>
          <m:e>
            <m:r>
              <m:t>S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</m:e>
            </m:d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be the window path under</w:t>
      </w:r>
      <w:r>
        <w:rPr>
          <w:iCs/>
          <w:i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o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=</m:t>
            </m:r>
            <m:r>
              <m:t>s</m:t>
            </m:r>
            <m:r>
              <m:rPr>
                <m:sty m:val="p"/>
              </m:rPr>
              <m:t>,</m:t>
            </m:r>
            <m:r>
              <m:t> </m:t>
            </m:r>
            <m:r>
              <m:t>t</m:t>
            </m:r>
            <m:r>
              <m:rPr>
                <m:sty m:val="p"/>
              </m:rPr>
              <m:t>&lt;</m:t>
            </m:r>
            <m:r>
              <m:t>T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m:oMath>
        <m:sSup>
          <m:e>
            <m:r>
              <m:t>S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the path under</w:t>
      </w:r>
      <w:r>
        <w:rPr>
          <w:iCs/>
          <w:i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o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t</m:t>
            </m:r>
            <m:r>
              <m:rPr>
                <m:sty m:val="p"/>
              </m:rPr>
              <m:t>&lt;</m:t>
            </m:r>
            <m:r>
              <m:t>T</m:t>
            </m:r>
          </m:e>
        </m:d>
      </m:oMath>
      <w:r>
        <w:rPr>
          <w:iCs/>
          <w:i/>
        </w:rPr>
        <w:t xml:space="preserve">, both</w:t>
      </w:r>
      <w:r>
        <w:rPr>
          <w:iCs/>
          <w:i/>
        </w:rPr>
        <w:t xml:space="preserve"> </w:t>
      </w:r>
      <w:r>
        <w:rPr>
          <w:iCs/>
          <w:i/>
        </w:rPr>
        <w:t xml:space="preserve">with the same initial state and the same inputs</w:t>
      </w:r>
      <w:r>
        <w:rPr>
          <w:iCs/>
          <w:i/>
        </w:rPr>
        <w:t xml:space="preserve"> </w:t>
      </w:r>
      <m:oMath>
        <m:r>
          <m:t>κ</m:t>
        </m:r>
      </m:oMath>
      <w:r>
        <w:rPr>
          <w:iCs/>
          <w:i/>
        </w:rPr>
        <w:t xml:space="preserve">. Then: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</m:e>
            </m:d>
          </m:sup>
        </m:sSubSup>
        <m:r>
          <m:rPr>
            <m:sty m:val="p"/>
          </m:rPr>
          <m:t>−</m:t>
        </m:r>
        <m:sSubSup>
          <m:e>
            <m:r>
              <m:t>S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  <m:r>
          <m:rPr>
            <m:sty m:val="p"/>
          </m:rPr>
          <m:t>=</m:t>
        </m:r>
        <m:r>
          <m:t>s</m:t>
        </m:r>
        <m:r>
          <m:t> </m:t>
        </m:r>
        <m:sSub>
          <m:e>
            <m:r>
              <m:t>τ</m:t>
            </m:r>
          </m:e>
          <m:sub>
            <m:r>
              <m:t>j</m:t>
            </m:r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for all</w:t>
      </w:r>
      <w:r>
        <w:rPr>
          <w:iCs/>
          <w:i/>
        </w:rPr>
        <w:t xml:space="preserve"> </w:t>
      </w:r>
      <m:oMath>
        <m:r>
          <m:t>j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m:oMath>
        <m:r>
          <m:t>t</m:t>
        </m:r>
        <m:r>
          <m:rPr>
            <m:sty m:val="p"/>
          </m:rPr>
          <m:t>&lt;</m:t>
        </m:r>
        <m:r>
          <m:t>T</m:t>
        </m:r>
      </m:oMath>
      <w:r>
        <w:rPr>
          <w:iCs/>
          <w:i/>
        </w:rPr>
        <w:t xml:space="preserve">, for every</w:t>
      </w:r>
      <w:r>
        <w:rPr>
          <w:iCs/>
          <w:i/>
        </w:rPr>
        <w:t xml:space="preserve"> </w:t>
      </w:r>
      <w:r>
        <w:rPr>
          <w:iCs/>
          <w:i/>
        </w:rPr>
        <w:t xml:space="preserve">realisation of</w:t>
      </w:r>
      <w:r>
        <w:rPr>
          <w:iCs/>
          <w:i/>
        </w:rPr>
        <w:t xml:space="preserve"> </w:t>
      </w:r>
      <m:oMath>
        <m:r>
          <m:t>κ</m:t>
        </m:r>
      </m:oMath>
      <w:r>
        <w:rPr>
          <w:iCs/>
          <w:i/>
        </w:rPr>
        <w:t xml:space="preserve">;</w:t>
      </w:r>
    </w:p>
    <w:p>
      <w:pPr>
        <w:numPr>
          <w:ilvl w:val="0"/>
          <w:numId w:val="1002"/>
        </w:numPr>
      </w:pPr>
      <w:r>
        <w:rPr>
          <w:iCs/>
          <w:i/>
        </w:rPr>
        <w:t xml:space="preserve">for every</w:t>
      </w:r>
      <w:r>
        <w:rPr>
          <w:iCs/>
          <w:i/>
        </w:rPr>
        <w:t xml:space="preserve"> </w:t>
      </w:r>
      <m:oMath>
        <m:r>
          <m:t>q</m:t>
        </m:r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iCs/>
          <w:i/>
        </w:rPr>
        <w:t xml:space="preserve">, every law of</w:t>
      </w:r>
      <w:r>
        <w:rPr>
          <w:iCs/>
          <w:i/>
        </w:rPr>
        <w:t xml:space="preserve"> </w:t>
      </w:r>
      <m:oMath>
        <m:r>
          <m:t>κ</m:t>
        </m:r>
      </m:oMath>
      <w:r>
        <w:rPr>
          <w:iCs/>
          <w:i/>
        </w:rPr>
        <w:t xml:space="preserve">, and every flow path,</w:t>
      </w:r>
      <w:r>
        <w:rPr>
          <w:iCs/>
          <w:i/>
        </w:rPr>
        <w:t xml:space="preserve"> </w:t>
      </w: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min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sSub>
                <m:e>
                  <m:r>
                    <m:t>τ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 </m:t>
          </m:r>
          <m:r>
            <m:rPr>
              <m:sty m:val="p"/>
            </m:rPr>
            <m:t>≤</m:t>
          </m:r>
          <m:r>
            <m:t> </m:t>
          </m:r>
          <m:r>
            <m:t>Δ</m:t>
          </m:r>
          <m:sSub>
            <m:e>
              <m:r>
                <m:rPr>
                  <m:nor/>
                  <m:sty m:val="p"/>
                </m:rPr>
                <m:t>OC-CoVaR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i</m:t>
              </m:r>
            </m:e>
          </m:d>
          <m:r>
            <m:t> </m:t>
          </m:r>
          <m:r>
            <m:rPr>
              <m:sty m:val="p"/>
            </m:rPr>
            <m:t>≤</m:t>
          </m:r>
          <m:r>
            <m:t> 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max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sSub>
                <m:e>
                  <m:r>
                    <m:t>τ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,</m:t>
          </m:r>
        </m:oMath>
      </m:oMathPara>
      <w:r>
        <w:rPr>
          <w:iCs/>
          <w:i/>
        </w:rPr>
        <w:t xml:space="preserve"> </w:t>
      </w:r>
      <w:r>
        <w:rPr>
          <w:iCs/>
          <w:i/>
        </w:rPr>
        <w:t xml:space="preserve">where</w:t>
      </w:r>
      <w:r>
        <w:rPr>
          <w:iCs/>
          <w:i/>
        </w:rPr>
        <w:t xml:space="preserve"> </w:t>
      </w:r>
      <m:oMath>
        <m:r>
          <m:t>Δ</m:t>
        </m:r>
        <m:sSub>
          <m:e>
            <m:r>
              <m:rPr>
                <m:nor/>
                <m:sty m:val="p"/>
              </m:rPr>
              <m:t>OC-CoVaR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j</m:t>
            </m:r>
            <m:r>
              <m:t> </m:t>
            </m:r>
            <m:r>
              <m:rPr>
                <m:sty m:val="p"/>
              </m:rPr>
              <m:t>|</m:t>
            </m:r>
            <m:r>
              <m:t> </m:t>
            </m:r>
            <m:r>
              <m:t>i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is defined as in</w:t>
      </w:r>
      <w:r>
        <w:rPr>
          <w:iCs/>
          <w:i/>
        </w:rPr>
        <w:t xml:space="preserve"> </w:t>
      </w:r>
      <w:hyperlink w:anchor="eq:deltaoccovar">
        <w:r>
          <w:rPr>
            <w:rStyle w:val="Hyperlink"/>
            <w:iCs/>
            <w:i/>
          </w:rPr>
          <w:t xml:space="preserve">[eq:deltaoccovar]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with</w:t>
      </w:r>
      <w:r>
        <w:rPr>
          <w:iCs/>
          <w:i/>
        </w:rPr>
        <w:t xml:space="preserve"> </w:t>
      </w:r>
      <m:oMath>
        <m:r>
          <m:t>s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in</w:t>
      </w:r>
      <w:r>
        <w:rPr>
          <w:iCs/>
          <w:i/>
        </w:rPr>
        <w:t xml:space="preserve"> </w:t>
      </w:r>
      <w:r>
        <w:rPr>
          <w:iCs/>
          <w:i/>
        </w:rPr>
        <w:t xml:space="preserve">place of</w:t>
      </w:r>
      <w:r>
        <w:rPr>
          <w:iCs/>
          <w:i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iCs/>
          <w:i/>
        </w:rPr>
        <w:t xml:space="preserve">, and the bounds also hold for the Monte-Carlo estimator when both</w:t>
      </w:r>
      <w:r>
        <w:rPr>
          <w:iCs/>
          <w:i/>
        </w:rPr>
        <w:t xml:space="preserve"> </w:t>
      </w:r>
      <w:r>
        <w:rPr>
          <w:iCs/>
          <w:i/>
        </w:rPr>
        <w:t xml:space="preserve">interventions use the same shock draws.</w:t>
      </w:r>
    </w:p>
    <w:bookmarkEnd w:id="27"/>
    <w:bookmarkStart w:id="28" w:name="cor:pure"/>
    <w:p>
      <w:pPr>
        <w:pStyle w:val="FirstParagraph"/>
      </w:pPr>
      <w:r>
        <w:rPr>
          <w:bCs/>
          <w:b/>
        </w:rPr>
        <w:t xml:space="preserve">Corollary 1</w:t>
      </w:r>
      <w:r>
        <w:t xml:space="preserve"> </w:t>
      </w:r>
      <w:r>
        <w:t xml:space="preserve">(Per-period multiplier).</w:t>
      </w:r>
      <w:r>
        <w:t xml:space="preserve"> </w:t>
      </w:r>
      <w:r>
        <w:t xml:space="preserve"> </w:t>
      </w:r>
      <w:r>
        <w:rPr>
          <w:iCs/>
          <w:i/>
        </w:rPr>
        <w:t xml:space="preserve">For</w:t>
      </w:r>
      <w:r>
        <w:rPr>
          <w:iCs/>
          <w:i/>
        </w:rPr>
        <w:t xml:space="preserve"> </w:t>
      </w:r>
      <m:oMath>
        <m:r>
          <m:t>t</m:t>
        </m:r>
        <m:r>
          <m:rPr>
            <m:sty m:val="p"/>
          </m:rPr>
          <m:t>&lt;</m:t>
        </m:r>
        <m:r>
          <m:t>T</m:t>
        </m:r>
      </m:oMath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S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s</m:t>
                    </m:r>
                  </m:e>
                </m:d>
              </m:sup>
            </m:sSubSup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S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</m:sup>
            </m:sSubSup>
          </m:e>
        </m:d>
        <m:r>
          <m:rPr>
            <m:sty m:val="p"/>
          </m:rPr>
          <m:t>=</m:t>
        </m:r>
        <m:r>
          <m:t>s</m:t>
        </m:r>
        <m:r>
          <m:t> </m:t>
        </m:r>
        <m:sSub>
          <m:e>
            <m:r>
              <m:t>τ</m:t>
            </m:r>
          </m:e>
          <m:sub>
            <m:r>
              <m:t>j</m:t>
            </m:r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for every</w:t>
      </w:r>
      <w:r>
        <w:rPr>
          <w:iCs/>
          <w:i/>
        </w:rPr>
        <w:t xml:space="preserve"> </w:t>
      </w:r>
      <m:oMath>
        <m:r>
          <m:t>q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and every law of</w:t>
      </w:r>
      <w:r>
        <w:rPr>
          <w:iCs/>
          <w:i/>
        </w:rPr>
        <w:t xml:space="preserve"> </w:t>
      </w:r>
      <m:oMath>
        <m:r>
          <m:t>κ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(immediate from Proposition </w:t>
      </w:r>
      <w:hyperlink w:anchor="prop:A">
        <w:r>
          <w:rPr>
            <w:rStyle w:val="Hyperlink"/>
            <w:iCs/>
            <w:i/>
          </w:rPr>
          <w:t xml:space="preserve">2</w:t>
        </w:r>
      </w:hyperlink>
      <w:r>
        <w:rPr>
          <w:iCs/>
          <w:i/>
        </w:rPr>
        <w:t xml:space="preserve">(a)). The per-period effect is a deterministic network</w:t>
      </w:r>
      <w:r>
        <w:rPr>
          <w:iCs/>
          <w:i/>
        </w:rPr>
        <w:t xml:space="preserve"> </w:t>
      </w:r>
      <w:r>
        <w:rPr>
          <w:iCs/>
          <w:i/>
        </w:rPr>
        <w:t xml:space="preserve">multiplier.</w:t>
      </w:r>
    </w:p>
    <w:bookmarkEnd w:id="28"/>
    <w:bookmarkStart w:id="29" w:name="cor:zero"/>
    <w:p>
      <w:pPr>
        <w:pStyle w:val="BodyText"/>
      </w:pPr>
      <w:r>
        <w:rPr>
          <w:bCs/>
          <w:b/>
        </w:rPr>
        <w:t xml:space="preserve">Corollary 2</w:t>
      </w:r>
      <w:r>
        <w:t xml:space="preserve"> </w:t>
      </w:r>
      <w:r>
        <w:t xml:space="preserve">(Zero by construction).</w:t>
      </w:r>
      <w:r>
        <w:t xml:space="preserve"> </w:t>
      </w:r>
      <w:r>
        <w:t xml:space="preserve"> </w:t>
      </w:r>
      <w:r>
        <w:rPr>
          <w:iCs/>
          <w:i/>
        </w:rPr>
        <w:t xml:space="preserve">If there is no directed path from</w:t>
      </w:r>
      <w:r>
        <w:rPr>
          <w:iCs/>
          <w:i/>
        </w:rPr>
        <w:t xml:space="preserve"> </w:t>
      </w:r>
      <m:oMath>
        <m:r>
          <m:t>i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to</w:t>
      </w:r>
      <w:r>
        <w:rPr>
          <w:iCs/>
          <w:i/>
        </w:rPr>
        <w:t xml:space="preserve"> </w:t>
      </w:r>
      <m:oMath>
        <m:r>
          <m:t>j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of length at most</w:t>
      </w:r>
      <w:r>
        <w:rPr>
          <w:iCs/>
          <w:i/>
        </w:rP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rPr>
          <w:iCs/>
          <w:i/>
        </w:rPr>
        <w:t xml:space="preserve">, then</w:t>
      </w:r>
      <w:r>
        <w:rPr>
          <w:iCs/>
          <w:i/>
        </w:rPr>
        <w:t xml:space="preserve"> </w:t>
      </w:r>
      <m:oMath>
        <m:sSub>
          <m:e>
            <m:r>
              <m:t>τ</m:t>
            </m:r>
          </m:e>
          <m:sub>
            <m:r>
              <m:t>j</m:t>
            </m:r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for all</w:t>
      </w:r>
      <w:r>
        <w:rPr>
          <w:iCs/>
          <w:i/>
        </w:rPr>
        <w:t xml:space="preserve"> </w:t>
      </w:r>
      <m:oMath>
        <m:r>
          <m:t>t</m:t>
        </m:r>
        <m:r>
          <m:rPr>
            <m:sty m:val="p"/>
          </m:rPr>
          <m:t>&lt;</m:t>
        </m:r>
        <m:r>
          <m:t>T</m:t>
        </m:r>
      </m:oMath>
      <w:r>
        <w:rPr>
          <w:iCs/>
          <w:i/>
        </w:rPr>
        <w:t xml:space="preserve">, so</w:t>
      </w:r>
      <w:r>
        <w:rPr>
          <w:iCs/>
          <w:i/>
        </w:rPr>
        <w:t xml:space="preserve"> </w:t>
      </w:r>
      <m:oMath>
        <m:r>
          <m:t>Δ</m:t>
        </m:r>
        <m:sSub>
          <m:e>
            <m:r>
              <m:rPr>
                <m:nor/>
                <m:sty m:val="p"/>
              </m:rPr>
              <m:t>OC-CoVaR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j</m:t>
            </m:r>
            <m:r>
              <m:t> </m:t>
            </m:r>
            <m:r>
              <m:rPr>
                <m:sty m:val="p"/>
              </m:rPr>
              <m:t>|</m:t>
            </m:r>
            <m:r>
              <m:t> </m:t>
            </m:r>
            <m:r>
              <m:t>i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for every</w:t>
      </w:r>
      <w:r>
        <w:rPr>
          <w:iCs/>
          <w:i/>
        </w:rPr>
        <w:t xml:space="preserve"> </w:t>
      </w:r>
      <m:oMath>
        <m:r>
          <m:t>q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and every</w:t>
      </w:r>
      <w:r>
        <w:rPr>
          <w:iCs/>
          <w:i/>
        </w:rPr>
        <w:t xml:space="preserve"> </w:t>
      </w:r>
      <w:r>
        <w:rPr>
          <w:iCs/>
          <w:i/>
        </w:rPr>
        <w:t xml:space="preserve">law of</w:t>
      </w:r>
      <w:r>
        <w:rPr>
          <w:iCs/>
          <w:i/>
        </w:rPr>
        <w:t xml:space="preserve"> </w:t>
      </w:r>
      <m:oMath>
        <m:r>
          <m:t>κ</m:t>
        </m:r>
      </m:oMath>
      <w:r>
        <w:rPr>
          <w:iCs/>
          <w:i/>
        </w:rPr>
        <w:t xml:space="preserve">. The same holds for the counterfactual attribution,</w:t>
      </w:r>
      <w:r>
        <w:rPr>
          <w:iCs/>
          <w:i/>
        </w:rPr>
        <w:t xml:space="preserve"> </w:t>
      </w:r>
      <m:oMath>
        <m:sSubSup>
          <m:e>
            <m:r>
              <m:t>Δ</m:t>
            </m:r>
          </m:e>
          <m:sub>
            <m:r>
              <m:t>i</m:t>
            </m:r>
          </m:sub>
          <m:sup>
            <m:r>
              <m:t>C</m:t>
            </m:r>
            <m:r>
              <m:t>F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j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iCs/>
          <w:i/>
        </w:rPr>
        <w:t xml:space="preserve">.</w:t>
      </w:r>
    </w:p>
    <w:bookmarkEnd w:id="29"/>
    <w:bookmarkStart w:id="30" w:name="cor:bound"/>
    <w:p>
      <w:pPr>
        <w:pStyle w:val="BodyText"/>
      </w:pPr>
      <w:r>
        <w:rPr>
          <w:bCs/>
          <w:b/>
        </w:rPr>
        <w:t xml:space="preserve">Corollary 3</w:t>
      </w:r>
      <w:r>
        <w:t xml:space="preserve"> </w:t>
      </w:r>
      <w:r>
        <w:t xml:space="preserve">(Exported-risk bound and long-run multiplier).</w:t>
      </w:r>
      <w:r>
        <w:t xml:space="preserve"> </w:t>
      </w:r>
      <w:r>
        <w:t xml:space="preserve"> </w:t>
      </w:r>
      <w:r>
        <w:rPr>
          <w:iCs/>
          <w:i/>
        </w:rPr>
        <w:t xml:space="preserve">Let</w:t>
      </w:r>
      <w:r>
        <w:rPr>
          <w:iCs/>
          <w:i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≠</m:t>
            </m:r>
            <m:r>
              <m:t>i</m:t>
            </m:r>
          </m:sub>
          <m:sup>
            <m:r>
              <m:t>​</m:t>
            </m:r>
          </m:sup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t</m:t>
                </m:r>
                <m:r>
                  <m:rPr>
                    <m:sty m:val="p"/>
                  </m:rPr>
                  <m:t>&lt;</m:t>
                </m:r>
                <m:r>
                  <m:t>T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max</m:t>
                </m:r>
              </m:e>
            </m:nary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τ</m:t>
                </m:r>
              </m:e>
              <m:sub>
                <m:r>
                  <m:t>j</m:t>
                </m:r>
                <m:r>
                  <m:t>i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iCs/>
          <w:i/>
        </w:rPr>
        <w:t xml:space="preserve">. Then</w:t>
      </w:r>
      <w:r>
        <w:rPr>
          <w:iCs/>
          <w:i/>
        </w:rPr>
        <w:t xml:space="preserve"> </w:t>
      </w:r>
      <w:r>
        <w:rPr>
          <w:iCs/>
          <w:i/>
        </w:rPr>
        <w:t xml:space="preserve">(i)</w:t>
      </w:r>
      <w:r>
        <w:rPr>
          <w:iCs/>
          <w:i/>
        </w:rPr>
        <w:t xml:space="preserve"> </w:t>
      </w:r>
      <m:oMath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  <m:r>
          <m:rPr>
            <m:sty m:val="p"/>
          </m:rPr>
          <m:t>≤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iCs/>
          <w:i/>
        </w:rPr>
        <w:t xml:space="preserve">, and</w:t>
      </w:r>
      <w:r>
        <w:rPr>
          <w:iCs/>
          <w:i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implies</w:t>
      </w:r>
      <w:r>
        <w:rPr>
          <w:iCs/>
          <w:i/>
        </w:rPr>
        <w:t xml:space="preserve"> </w:t>
      </w:r>
      <m:oMath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iCs/>
          <w:i/>
        </w:rPr>
        <w:t xml:space="preserve">;</w:t>
      </w:r>
      <w:r>
        <w:rPr>
          <w:iCs/>
          <w:i/>
        </w:rPr>
        <w:t xml:space="preserve"> </w:t>
      </w:r>
      <w:r>
        <w:rPr>
          <w:iCs/>
          <w:i/>
        </w:rPr>
        <w:t xml:space="preserve">(ii) if</w:t>
      </w:r>
      <w:r>
        <w:rPr>
          <w:iCs/>
          <w:i/>
        </w:rPr>
        <w:t xml:space="preserve"> </w:t>
      </w:r>
      <m:oMath>
        <m:r>
          <m:t>ρ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&lt;</m:t>
        </m:r>
        <m:r>
          <m:t>1</m:t>
        </m:r>
      </m:oMath>
      <w:r>
        <w:rPr>
          <w:iCs/>
          <w:i/>
        </w:rPr>
        <w:t xml:space="preserve">, then</w:t>
      </w:r>
      <w:r>
        <w:rPr>
          <w:iCs/>
          <w:i/>
        </w:rP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⋅</m:t>
            </m:r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→</m:t>
        </m:r>
        <m:sSup>
          <m:e>
            <m:r>
              <m:t>m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p>
        </m:sSup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A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as</w:t>
      </w:r>
      <w:r>
        <w:rPr>
          <w:iCs/>
          <w:i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iCs/>
          <w:i/>
        </w:rPr>
        <w:t xml:space="preserve">, so</w:t>
      </w:r>
      <w:r>
        <w:rPr>
          <w:iCs/>
          <w:i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/</m:t>
        </m:r>
        <m:r>
          <m:t>T</m:t>
        </m:r>
        <m:r>
          <m:rPr>
            <m:sty m:val="p"/>
          </m:rPr>
          <m:t>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≠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max</m:t>
            </m:r>
          </m:e>
        </m:nary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m</m:t>
                </m:r>
              </m:e>
              <m:sub>
                <m:r>
                  <m:t>j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</m:sup>
            </m:sSubSup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iCs/>
          <w:i/>
        </w:rPr>
        <w:t xml:space="preserve">.</w:t>
      </w:r>
    </w:p>
    <w:bookmarkEnd w:id="30"/>
    <w:p>
      <w:pPr>
        <w:pStyle w:val="BodyText"/>
      </w:pPr>
      <w:r>
        <w:t xml:space="preserve">Proposition </w:t>
      </w:r>
      <w:hyperlink w:anchor="prop: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implies that the interventional effect is a pure network multiplier: it depends on the graph and the coefficients, not on flows, intercepts or the shock law. Proofs are in Appendix </w:t>
      </w:r>
      <w:hyperlink w:anchor="app:proofs">
        <w:r>
          <w:rPr>
            <w:rStyle w:val="Hyperlink"/>
          </w:rPr>
          <w:t xml:space="preserve">10</w:t>
        </w:r>
      </w:hyperlink>
      <w:r>
        <w:t xml:space="preserve">.</w:t>
      </w:r>
    </w:p>
    <w:bookmarkStart w:id="31" w:name="prop:B"/>
    <w:p>
      <w:pPr>
        <w:pStyle w:val="BodyText"/>
      </w:pPr>
      <w:r>
        <w:rPr>
          <w:bCs/>
          <w:b/>
        </w:rPr>
        <w:t xml:space="preserve">Proposition 3</w:t>
      </w:r>
      <w:r>
        <w:t xml:space="preserve"> </w:t>
      </w:r>
      <w:r>
        <w:t xml:space="preserve">(Abduction invariance of the stress deviation).</w:t>
      </w:r>
      <w:r>
        <w:t xml:space="preserve"> </w:t>
      </w:r>
      <w:r>
        <w:t xml:space="preserve"> </w:t>
      </w:r>
      <w:r>
        <w:rPr>
          <w:iCs/>
          <w:i/>
        </w:rPr>
        <w:t xml:space="preserve">Let</w:t>
      </w:r>
      <w:r>
        <w:rPr>
          <w:iCs/>
          <w:i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f</m:t>
            </m:r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be a reference path that satisfies</w:t>
      </w:r>
      <w:r>
        <w:rPr>
          <w:iCs/>
          <w:i/>
        </w:rPr>
        <w:t xml:space="preserve"> </w:t>
      </w:r>
      <w:hyperlink w:anchor="eq:linear">
        <w:r>
          <w:rPr>
            <w:rStyle w:val="Hyperlink"/>
            <w:iCs/>
            <w:i/>
          </w:rPr>
          <w:t xml:space="preserve">[eq:linear]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for entities</w:t>
      </w:r>
      <w:r>
        <w:rPr>
          <w:iCs/>
          <w:i/>
        </w:rPr>
        <w:t xml:space="preserve"> </w:t>
      </w:r>
      <w:r>
        <w:rPr>
          <w:iCs/>
          <w:i/>
        </w:rPr>
        <w:t xml:space="preserve">outside a set</w:t>
      </w:r>
      <w:r>
        <w:rPr>
          <w:iCs/>
          <w:i/>
        </w:rPr>
        <w:t xml:space="preserve"> </w:t>
      </w:r>
      <m:oMath>
        <m:r>
          <m:t>K</m:t>
        </m:r>
      </m:oMath>
      <w:r>
        <w:rPr>
          <w:iCs/>
          <w:i/>
        </w:rPr>
        <w:t xml:space="preserve">, generated with inputs</w:t>
      </w:r>
      <w:r>
        <w:rPr>
          <w:iCs/>
          <w:i/>
        </w:rPr>
        <w:t xml:space="preserve"> </w:t>
      </w:r>
      <m:oMath>
        <m:r>
          <m:t>κ</m:t>
        </m:r>
      </m:oMath>
      <w:r>
        <w:rPr>
          <w:iCs/>
          <w:i/>
        </w:rPr>
        <w:t xml:space="preserve">. For</w:t>
      </w:r>
      <w:r>
        <w:rPr>
          <w:iCs/>
          <w:i/>
        </w:rPr>
        <w:t xml:space="preserve"> </w:t>
      </w:r>
      <m:oMath>
        <m:r>
          <m:t>k</m:t>
        </m:r>
        <m:r>
          <m:rPr>
            <m:sty m:val="p"/>
          </m:rPr>
          <m:t>∈</m:t>
        </m:r>
        <m:r>
          <m:t>K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let</w:t>
      </w:r>
      <w:r>
        <w:rPr>
          <w:iCs/>
          <w:i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be</w:t>
      </w:r>
      <w:r>
        <w:rPr>
          <w:iCs/>
          <w:i/>
        </w:rPr>
        <w:t xml:space="preserve"> </w:t>
      </w:r>
      <w:r>
        <w:rPr>
          <w:iCs/>
          <w:i/>
        </w:rPr>
        <w:t xml:space="preserve">prescribed levels, and define</w:t>
      </w:r>
      <w:r>
        <w:rPr>
          <w:iCs/>
          <w:i/>
        </w:rP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Sup>
          <m:e>
            <m:r>
              <m:t>S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rPr>
                <m:sty m:val="p"/>
              </m:rPr>
              <m:t>f</m:t>
            </m:r>
          </m:sup>
        </m:sSubSup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rPr>
          <w:iCs/>
          <w:i/>
        </w:rPr>
        <w:t xml:space="preserve">. Let</w:t>
      </w:r>
      <w:r>
        <w:rPr>
          <w:iCs/>
          <w:i/>
        </w:rPr>
        <w:t xml:space="preserve"> </w:t>
      </w:r>
      <m:oMath>
        <m:sSup>
          <m:e>
            <m:r>
              <m:t>S</m:t>
            </m:r>
          </m:e>
          <m:sup>
            <m:r>
              <m:t>K</m:t>
            </m:r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be the path</w:t>
      </w:r>
      <w:r>
        <w:rPr>
          <w:iCs/>
          <w:i/>
        </w:rPr>
        <w:t xml:space="preserve"> </w:t>
      </w:r>
      <w:r>
        <w:rPr>
          <w:iCs/>
          <w:i/>
        </w:rPr>
        <w:t xml:space="preserve">under</w:t>
      </w:r>
      <w:r>
        <w:rPr>
          <w:iCs/>
          <w:i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o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p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k</m:t>
            </m:r>
            <m:r>
              <m:rPr>
                <m:sty m:val="p"/>
              </m:rPr>
              <m:t>∈</m:t>
            </m:r>
            <m:r>
              <m:t>K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with the same initial state and inputs. Then</w:t>
      </w:r>
      <w:r>
        <w:rPr>
          <w:iCs/>
          <w:i/>
        </w:rPr>
        <w:t xml:space="preserve"> </w:t>
      </w:r>
      <m:oMath>
        <m:sSup>
          <m:e>
            <m:r>
              <m:t>S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rPr>
                <m:sty m:val="p"/>
              </m:rPr>
              <m:t>f</m:t>
            </m:r>
          </m:sup>
        </m:sSup>
        <m:r>
          <m:rPr>
            <m:sty m:val="p"/>
          </m:rPr>
          <m:t>−</m:t>
        </m:r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rPr>
          <w:iCs/>
          <w:i/>
        </w:rPr>
        <w:t xml:space="preserve">, where</w:t>
      </w:r>
      <w:r>
        <w:rPr>
          <w:iCs/>
          <w:i/>
        </w:rPr>
        <w:t xml:space="preserve"> </w:t>
      </w:r>
      <m:oMath>
        <m:r>
          <m:t>r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is the linear propagation</w:t>
      </w:r>
      <w:r>
        <w:rPr>
          <w:iCs/>
          <w:i/>
        </w:rPr>
        <w:t xml:space="preserve"> </w:t>
      </w: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</m:nary>
          <m:r>
            <m:t> </m:t>
          </m:r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rPr>
                  <m:sty m:val="p"/>
                </m:rPr>
                <m:t>∉</m:t>
              </m:r>
              <m:r>
                <m:t>K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  <w:r>
        <w:rPr>
          <w:iCs/>
          <w:i/>
        </w:rPr>
        <w:t xml:space="preserve"> </w:t>
      </w:r>
      <w:r>
        <w:rPr>
          <w:iCs/>
          <w:i/>
        </w:rPr>
        <w:t xml:space="preserve">Consequently, for the counterfactual</w:t>
      </w:r>
      <w:r>
        <w:rPr>
          <w:iCs/>
          <w:i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≡</m:t>
        </m:r>
        <m:sSubSup>
          <m:e>
            <m:r>
              <m:t>S</m:t>
            </m:r>
          </m:e>
          <m:sub>
            <m:r>
              <m:t>i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p>
        </m:sSubSup>
      </m:oMath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m:oMathPara>
        <m:oMathParaPr>
          <m:jc m:val="center"/>
        </m:oMathParaPr>
        <m:oMath>
          <m:sSubSup>
            <m:e>
              <m:r>
                <m:t>Δ</m:t>
              </m:r>
            </m:e>
            <m:sub>
              <m:r>
                <m:t>i</m:t>
              </m:r>
            </m:sub>
            <m:sup>
              <m:r>
                <m:t>C</m:t>
              </m:r>
              <m:r>
                <m:t>F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f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f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e>
                  </m:d>
                </m:e>
              </m:d>
            </m:e>
          </m:nary>
          <m:r>
            <m:rPr>
              <m:sty m:val="p"/>
            </m:rPr>
            <m:t>.</m:t>
          </m:r>
        </m:oMath>
      </m:oMathPara>
      <w:r>
        <w:rPr>
          <w:iCs/>
          <w:i/>
        </w:rPr>
        <w:t xml:space="preserve"> </w:t>
      </w:r>
      <w:r>
        <w:rPr>
          <w:iCs/>
          <w:i/>
        </w:rPr>
        <w:t xml:space="preserve">The stress deviation</w:t>
      </w:r>
      <w:r>
        <w:rPr>
          <w:iCs/>
          <w:i/>
        </w:rPr>
        <w:t xml:space="preserve"> </w:t>
      </w:r>
      <m:oMath>
        <m:r>
          <m:t>r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does not depend on the flows, intercepts or shock values except</w:t>
      </w:r>
      <w:r>
        <w:rPr>
          <w:iCs/>
          <w:i/>
        </w:rPr>
        <w:t xml:space="preserve"> </w:t>
      </w:r>
      <w:r>
        <w:rPr>
          <w:iCs/>
          <w:i/>
        </w:rPr>
        <w:t xml:space="preserve">through the reference levels at the intervened entities. The only nonlinearity in the</w:t>
      </w:r>
      <w:r>
        <w:rPr>
          <w:iCs/>
          <w:i/>
        </w:rPr>
        <w:t xml:space="preserve"> </w:t>
      </w:r>
      <w:r>
        <w:rPr>
          <w:iCs/>
          <w:i/>
        </w:rPr>
        <w:t xml:space="preserve">attribution is the hinge</w:t>
      </w:r>
      <w:r>
        <w:rPr>
          <w:iCs/>
          <w:i/>
        </w:rP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iCs/>
          <w:i/>
        </w:rPr>
        <w:t xml:space="preserve">.</w:t>
      </w:r>
    </w:p>
    <w:bookmarkEnd w:id="31"/>
    <w:bookmarkStart w:id="32" w:name="cor:share"/>
    <w:p>
      <w:pPr>
        <w:pStyle w:val="FirstParagraph"/>
      </w:pPr>
      <w:r>
        <w:rPr>
          <w:bCs/>
          <w:b/>
        </w:rPr>
        <w:t xml:space="preserve">Corollary 4</w:t>
      </w:r>
      <w:r>
        <w:t xml:space="preserve"> </w:t>
      </w:r>
      <w:r>
        <w:t xml:space="preserve">(Share bound).</w:t>
      </w:r>
      <w:r>
        <w:t xml:space="preserve"> </w:t>
      </w:r>
      <w:r>
        <w:t xml:space="preserve"> </w:t>
      </w:r>
      <w:r>
        <w:rPr>
          <w:iCs/>
          <w:i/>
        </w:rPr>
        <w:t xml:space="preserve">Under the conditions of Proposition </w:t>
      </w:r>
      <w:hyperlink w:anchor="prop:B">
        <w:r>
          <w:rPr>
            <w:rStyle w:val="Hyperlink"/>
            <w:iCs/>
            <w:i/>
          </w:rPr>
          <w:t xml:space="preserve">3</w:t>
        </w:r>
      </w:hyperlink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Sup>
              <m:e>
                <m:r>
                  <m:t>Δ</m:t>
                </m:r>
              </m:e>
              <m:sub>
                <m:r>
                  <m:t>i</m:t>
                </m:r>
              </m:sub>
              <m:sup>
                <m:r>
                  <m:t>C</m:t>
                </m:r>
                <m:r>
                  <m:t>F</m:t>
                </m:r>
              </m:sup>
            </m:sSubSup>
            <m:d>
              <m:dPr>
                <m:begChr m:val="("/>
                <m:endChr m:val=")"/>
                <m:sepChr m:val=""/>
                <m:grow/>
              </m:dPr>
              <m:e>
                <m:r>
                  <m:t>j</m:t>
                </m:r>
              </m:e>
            </m:d>
          </m:e>
        </m:d>
        <m:r>
          <m:rPr>
            <m:sty m:val="p"/>
          </m:rPr>
          <m:t>≤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  <m:r>
              <m:rPr>
                <m:sty m:val="p"/>
              </m:rPr>
              <m:t>&lt;</m:t>
            </m:r>
            <m:r>
              <m:t>T</m:t>
            </m:r>
          </m:sub>
          <m:sup>
            <m:r>
              <m:t>​</m:t>
            </m:r>
          </m: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r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{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d>
              </m:e>
            </m:d>
          </m:e>
        </m:nary>
      </m:oMath>
      <w:r>
        <w:rPr>
          <w:iCs/>
          <w:i/>
        </w:rPr>
        <w:t xml:space="preserve">, hence</w:t>
      </w:r>
      <w:r>
        <w:rPr>
          <w:iCs/>
          <w:i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i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j</m:t>
                </m:r>
              </m:e>
            </m:d>
          </m:e>
        </m:d>
        <m:r>
          <m:rPr>
            <m:sty m:val="p"/>
          </m:rPr>
          <m:t>≤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  <m:r>
              <m:rPr>
                <m:sty m:val="p"/>
              </m:rPr>
              <m:t>&lt;</m:t>
            </m:r>
            <m:r>
              <m:t>T</m:t>
            </m:r>
          </m:sub>
          <m:sup>
            <m:r>
              <m:t>​</m:t>
            </m:r>
          </m: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r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{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d>
              </m:e>
            </m:d>
          </m:e>
        </m:nary>
        <m:r>
          <m:rPr>
            <m:sty m:val="p"/>
          </m:rPr>
          <m:t>/</m:t>
        </m:r>
        <m:sSubSup>
          <m:e>
            <m:r>
              <m:t>L</m:t>
            </m:r>
          </m:e>
          <m:sub>
            <m:r>
              <m:t>j</m:t>
            </m:r>
          </m:sub>
          <m:sup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p>
        </m:sSubSup>
      </m:oMath>
      <w:r>
        <w:rPr>
          <w:iCs/>
          <w:i/>
        </w:rPr>
        <w:t xml:space="preserve">.</w:t>
      </w:r>
    </w:p>
    <w:bookmarkEnd w:id="32"/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Each summand of</w:t>
      </w:r>
      <w:r>
        <w:t xml:space="preserve"> </w:t>
      </w:r>
      <w:hyperlink w:anchor="eq:cfhinge">
        <w:r>
          <w:rPr>
            <w:rStyle w:val="Hyperlink"/>
          </w:rPr>
          <w:t xml:space="preserve">[eq:cfhinge]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S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  <m:sup>
                <m:r>
                  <m:rPr>
                    <m:sty m:val="p"/>
                  </m:rPr>
                  <m:t>f</m:t>
                </m:r>
              </m:sup>
            </m:sSubSup>
          </m:e>
        </m:d>
        <m:r>
          <m:rPr>
            <m:sty m:val="p"/>
          </m:rPr>
          <m:t>−</m:t>
        </m:r>
        <m:r>
          <m:t>h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S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  <m:sup>
                <m:r>
                  <m:rPr>
                    <m:sty m:val="p"/>
                  </m:rPr>
                  <m:t>f</m:t>
                </m:r>
              </m:sup>
            </m:sSubSup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{</m:t>
                </m:r>
                <m:r>
                  <m:t>i</m:t>
                </m:r>
                <m:r>
                  <m:rPr>
                    <m:sty m:val="p"/>
                  </m:rPr>
                  <m:t>}</m:t>
                </m:r>
              </m:e>
            </m:d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1-Lipschitz, each summand has absolute value at most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{</m:t>
                </m:r>
                <m:r>
                  <m:t>i</m:t>
                </m:r>
                <m:r>
                  <m:rPr>
                    <m:sty m:val="p"/>
                  </m:rPr>
                  <m:t>}</m:t>
                </m:r>
              </m:e>
            </m:d>
          </m:e>
        </m:d>
      </m:oMath>
      <w:r>
        <w:t xml:space="preserve">. Summing over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T</m:t>
        </m:r>
      </m:oMath>
      <w:r>
        <w:t xml:space="preserve"> </w:t>
      </w:r>
      <w:r>
        <w:t xml:space="preserve">gives the first bound, and dividing by</w:t>
      </w:r>
      <w:r>
        <w:t xml:space="preserve"> </w:t>
      </w:r>
      <m:oMath>
        <m:sSubSup>
          <m:e>
            <m:r>
              <m:t>L</m:t>
            </m:r>
          </m:e>
          <m:sub>
            <m:r>
              <m:t>j</m:t>
            </m:r>
          </m:sub>
          <m:sup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second.</w:t>
      </w:r>
      <m:oMath>
        <m:r>
          <m:rPr>
            <m:sty m:val="p"/>
          </m:rPr>
          <m:t>▫</m:t>
        </m:r>
      </m:oMath>
      <w:r>
        <w:t xml:space="preserve"> ◻</w:t>
      </w:r>
    </w:p>
    <w:p>
      <w:pPr>
        <w:pStyle w:val="BodyText"/>
      </w:pPr>
      <w:r>
        <w:t xml:space="preserve">Corollary </w:t>
      </w:r>
      <w:hyperlink w:anchor="cor:shar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a bound, not an identity. Informally,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generated only by</w:t>
      </w:r>
      <w:r>
        <w:t xml:space="preserve"> </w:t>
      </w:r>
      <m:oMath>
        <m:r>
          <m:t>j</m:t>
        </m:r>
      </m:oMath>
      <w:r>
        <w:t xml:space="preserve">’s</w:t>
      </w:r>
      <w:r>
        <w:t xml:space="preserve"> </w:t>
      </w:r>
      <w:r>
        <w:t xml:space="preserve">network term. When that term explains a small fraction of</w:t>
      </w:r>
      <w:r>
        <w:t xml:space="preserve"> </w:t>
      </w:r>
      <m:oMath>
        <m:r>
          <m:t>j</m:t>
        </m:r>
      </m:oMath>
      <w:r>
        <w:t xml:space="preserve">’s stress (small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), shares are small</w:t>
      </w:r>
      <w:r>
        <w:t xml:space="preserve"> </w:t>
      </w:r>
      <w:r>
        <w:t xml:space="preserve">relative to the full-abduction</w:t>
      </w:r>
      <w:r>
        <w:t xml:space="preserve"> </w:t>
      </w:r>
      <m:oMath>
        <m:sSubSup>
          <m:e>
            <m:r>
              <m:t>L</m:t>
            </m:r>
          </m:e>
          <m:sub>
            <m:r>
              <m:t>j</m:t>
            </m:r>
          </m:sub>
          <m:sup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p>
        </m:sSubSup>
      </m:oMath>
      <w:r>
        <w:t xml:space="preserve">, whereas under zero-shock abduction the</w:t>
      </w:r>
      <w:r>
        <w:t xml:space="preserve"> </w:t>
      </w:r>
      <w:r>
        <w:t xml:space="preserve">denominator is not comparable.</w:t>
      </w:r>
    </w:p>
    <w:bookmarkStart w:id="33" w:name="prop:C"/>
    <w:p>
      <w:pPr>
        <w:pStyle w:val="BodyText"/>
      </w:pPr>
      <w:r>
        <w:rPr>
          <w:bCs/>
          <w:b/>
        </w:rPr>
        <w:t xml:space="preserve">Proposition 4</w:t>
      </w:r>
      <w:r>
        <w:t xml:space="preserve"> </w:t>
      </w:r>
      <w:r>
        <w:t xml:space="preserve">(Walk representation and exact linear Shapley attribution).</w:t>
      </w:r>
      <w:r>
        <w:t xml:space="preserve"> </w:t>
      </w:r>
      <w:r>
        <w:t xml:space="preserve"> </w:t>
      </w:r>
      <w:r>
        <w:rPr>
          <w:iCs/>
          <w:i/>
        </w:rPr>
        <w:t xml:space="preserve">Let</w:t>
      </w:r>
      <w:r>
        <w:rPr>
          <w:iCs/>
          <w:i/>
        </w:rPr>
        <w:t xml:space="preserve"> </w:t>
      </w:r>
      <m:oMath>
        <m:r>
          <m:t>P</m:t>
        </m:r>
        <m:r>
          <m:rPr>
            <m:sty m:val="p"/>
          </m:rPr>
          <m:t>⊆</m:t>
        </m:r>
        <m:r>
          <m:t>V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t>j</m:t>
        </m:r>
        <m:r>
          <m:rPr>
            <m:sty m:val="p"/>
          </m:rPr>
          <m:t>}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be the set of candidate sources and</w:t>
      </w:r>
      <w:r>
        <w:rPr>
          <w:iCs/>
          <w:i/>
        </w:rP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as in</w:t>
      </w:r>
      <w:r>
        <w:rPr>
          <w:iCs/>
          <w:i/>
        </w:rPr>
        <w:t xml:space="preserve"> </w:t>
      </w:r>
      <w:r>
        <w:rPr>
          <w:iCs/>
          <w:i/>
        </w:rPr>
        <w:t xml:space="preserve">Proposition </w:t>
      </w:r>
      <w:hyperlink w:anchor="prop:B">
        <w:r>
          <w:rPr>
            <w:rStyle w:val="Hyperlink"/>
            <w:iCs/>
            <w:i/>
          </w:rPr>
          <w:t xml:space="preserve">3</w:t>
        </w:r>
      </w:hyperlink>
      <w:r>
        <w:rPr>
          <w:iCs/>
          <w:i/>
        </w:rPr>
        <w:t xml:space="preserve">, with</w:t>
      </w:r>
      <w:r>
        <w:rPr>
          <w:iCs/>
          <w:i/>
        </w:rPr>
        <w:t xml:space="preserve"> </w:t>
      </w:r>
      <m:oMath>
        <m:r>
          <m:t>K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replaced by subsets of</w:t>
      </w:r>
      <w:r>
        <w:rPr>
          <w:iCs/>
          <w:i/>
        </w:rPr>
        <w:t xml:space="preserve"> </w:t>
      </w:r>
      <m:oMath>
        <m:r>
          <m:t>P</m:t>
        </m:r>
      </m:oMath>
      <w:r>
        <w:rPr>
          <w:iCs/>
          <w:i/>
        </w:rPr>
        <w:t xml:space="preserve">. Consider the two games</w:t>
      </w:r>
      <w:r>
        <w:rPr>
          <w:iCs/>
          <w:i/>
        </w:rPr>
        <w:t xml:space="preserve"> </w:t>
      </w:r>
      <w:r>
        <w:rPr>
          <w:iCs/>
          <w:i/>
        </w:rPr>
        <w:t xml:space="preserve">on</w:t>
      </w:r>
      <w:r>
        <w:rPr>
          <w:iCs/>
          <w:i/>
        </w:rPr>
        <w:t xml:space="preserve"> </w:t>
      </w:r>
      <m:oMath>
        <m:r>
          <m:t>P</m:t>
        </m:r>
      </m:oMath>
      <w:r>
        <w:rPr>
          <w:iCs/>
          <w:i/>
        </w:rPr>
        <w:t xml:space="preserve">:</w:t>
      </w:r>
      <w:r>
        <w:rPr>
          <w:iCs/>
          <w:i/>
        </w:rPr>
        <w:t xml:space="preserve"> </w:t>
      </w:r>
      <m:oMathPara>
        <m:oMathParaPr>
          <m:jc m:val="center"/>
        </m:oMathParaPr>
        <m:oMath>
          <m:r>
            <m:t>v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f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f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K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  <w:r>
        <w:rPr>
          <w:iCs/>
          <w:i/>
        </w:rPr>
        <w:t xml:space="preserve"> </w:t>
      </w:r>
      <w:r>
        <w:rPr>
          <w:iCs/>
          <w:i/>
        </w:rPr>
        <w:t xml:space="preserve">where</w:t>
      </w:r>
      <w:r>
        <w:rPr>
          <w:iCs/>
          <w:i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is defined by</w:t>
      </w:r>
      <w:r>
        <w:rPr>
          <w:iCs/>
          <w:i/>
        </w:rPr>
        <w:t xml:space="preserve"> </w:t>
      </w:r>
      <w:hyperlink w:anchor="eq:propagate">
        <w:r>
          <w:rPr>
            <w:rStyle w:val="Hyperlink"/>
            <w:iCs/>
            <w:i/>
          </w:rPr>
          <w:t xml:space="preserve">[eq:propagate]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with</w:t>
      </w:r>
      <w:r>
        <w:rPr>
          <w:iCs/>
          <w:i/>
        </w:rPr>
        <w:t xml:space="preserve"> </w:t>
      </w:r>
      <m:oMath>
        <m:r>
          <m:t>K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as the intervened set. Let a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walk</w:t>
      </w:r>
      <w:r>
        <w:rPr>
          <w:iCs/>
          <w:i/>
        </w:rPr>
        <w:t xml:space="preserve"> </w:t>
      </w:r>
      <w:r>
        <w:rPr>
          <w:iCs/>
          <w:i/>
        </w:rPr>
        <w:t xml:space="preserve">be a sequence</w:t>
      </w:r>
      <w:r>
        <w:rPr>
          <w:iCs/>
          <w:i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,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ℓ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ℓ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with</w:t>
      </w:r>
      <w:r>
        <w:rPr>
          <w:iCs/>
          <w:i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ℓ</m:t>
            </m:r>
          </m:sub>
        </m:sSub>
        <m:r>
          <m:rPr>
            <m:sty m:val="p"/>
          </m:rPr>
          <m:t>=</m:t>
        </m:r>
        <m:r>
          <m:t>j</m:t>
        </m:r>
      </m:oMath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ℓ</m:t>
        </m:r>
        <m:r>
          <m:rPr>
            <m:sty m:val="p"/>
          </m:rPr>
          <m:t>&lt;</m:t>
        </m:r>
        <m:r>
          <m:t>T</m:t>
        </m:r>
      </m:oMath>
      <w:r>
        <w:rPr>
          <w:iCs/>
          <w:i/>
        </w:rPr>
        <w:t xml:space="preserve">, and each step along an edge of</w:t>
      </w:r>
      <w:r>
        <w:rPr>
          <w:iCs/>
          <w:i/>
        </w:rPr>
        <w:t xml:space="preserve"> </w:t>
      </w:r>
      <m:oMath>
        <m:r>
          <m:t>G</m:t>
        </m:r>
      </m:oMath>
      <w:r>
        <w:rPr>
          <w:iCs/>
          <w:i/>
        </w:rPr>
        <w:t xml:space="preserve">; let</w:t>
      </w:r>
      <w:r>
        <w:rPr>
          <w:iCs/>
          <w:i/>
        </w:rPr>
        <w:t xml:space="preserve"> </w:t>
      </w:r>
      <m:oMath>
        <m:r>
          <m:t>ω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r>
          <m:rPr>
            <m:sty m:val="p"/>
          </m:rPr>
          <m:t>=</m:t>
        </m:r>
        <m:sSub>
          <m:e>
            <m:r>
              <m:t>g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sub>
        </m:sSub>
        <m:nary>
          <m:naryPr>
            <m:chr m:val="∏"/>
            <m:limLoc m:val="undOvr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s</m:t>
                    </m:r>
                  </m:sub>
                </m:sSub>
              </m:sub>
            </m:sSub>
          </m:e>
        </m:nary>
      </m:oMath>
      <w:r>
        <w:rPr>
          <w:iCs/>
          <w:i/>
        </w:rPr>
        <w:t xml:space="preserve">, let</w:t>
      </w:r>
      <w:r>
        <w:rPr>
          <w:iCs/>
          <w:i/>
        </w:rP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ℓ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t>P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be the distinct candidate sources among the</w:t>
      </w:r>
      <w:r>
        <w:rPr>
          <w:iCs/>
          <w:i/>
        </w:rPr>
        <w:t xml:space="preserve"> </w:t>
      </w:r>
      <w:r>
        <w:rPr>
          <w:iCs/>
          <w:i/>
        </w:rPr>
        <w:t xml:space="preserve">intermediate nodes, and</w:t>
      </w:r>
      <w:r>
        <w:rPr>
          <w:iCs/>
          <w:i/>
        </w:rP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I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w</m:t>
                </m:r>
              </m:e>
            </m:d>
          </m:e>
        </m:d>
      </m:oMath>
      <w:r>
        <w:rPr>
          <w:iCs/>
          <w:i/>
        </w:rPr>
        <w:t xml:space="preserve">. Let</w:t>
      </w:r>
      <w:r>
        <w:rPr>
          <w:iCs/>
          <w:i/>
        </w:rPr>
        <w:t xml:space="preserve"> </w:t>
      </w:r>
      <m:oMath>
        <m:r>
          <m:rPr>
            <m:sty m:val="p"/>
            <m:scr m:val="script"/>
          </m:rPr>
          <m:t>W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be the set of walks with</w:t>
      </w:r>
      <w:r>
        <w:rPr>
          <w:iCs/>
          <w:i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t>P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that do not revisit</w:t>
      </w:r>
      <w:r>
        <w:rPr>
          <w:iCs/>
          <w:i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iCs/>
          <w:i/>
        </w:rPr>
        <w:t xml:space="preserve">. Then:</w:t>
      </w:r>
    </w:p>
    <w:p>
      <w:pPr>
        <w:numPr>
          <w:ilvl w:val="0"/>
          <w:numId w:val="1003"/>
        </w:numPr>
      </w:pP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  <m:r>
              <m:rPr>
                <m:sty m:val="p"/>
              </m:rPr>
              <m:t>∈</m:t>
            </m:r>
            <m:r>
              <m:rPr>
                <m:sty m:val="p"/>
                <m:scr m:val="script"/>
              </m:rPr>
              <m:t>W</m:t>
            </m:r>
          </m:sub>
          <m:sup>
            <m:r>
              <m:t>​</m:t>
            </m:r>
          </m:sup>
          <m:e>
            <m:r>
              <m:t>ω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r>
          <m:t> </m:t>
        </m:r>
        <m:r>
          <m:rPr>
            <m:sty m:val="b"/>
          </m:rPr>
          <m:t>1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∈</m:t>
            </m:r>
            <m:r>
              <m:t>K</m:t>
            </m:r>
            <m:r>
              <m:rPr>
                <m:sty m:val="p"/>
              </m:rPr>
              <m:t>,</m:t>
            </m:r>
            <m:r>
              <m:t> </m:t>
            </m:r>
            <m:r>
              <m:t>I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w</m:t>
                </m:r>
              </m:e>
            </m:d>
            <m:r>
              <m:rPr>
                <m:sty m:val="p"/>
              </m:rPr>
              <m:t>∩</m:t>
            </m:r>
            <m: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∅</m:t>
            </m:r>
          </m:e>
        </m:d>
      </m:oMath>
      <w:r>
        <w:rPr>
          <w:iCs/>
          <w:i/>
        </w:rPr>
        <w:t xml:space="preserve">;</w:t>
      </w:r>
    </w:p>
    <w:p>
      <w:pPr>
        <w:numPr>
          <w:ilvl w:val="0"/>
          <w:numId w:val="1003"/>
        </w:numPr>
      </w:pPr>
      <w:r>
        <w:rPr>
          <w:iCs/>
          <w:i/>
        </w:rPr>
        <w:t xml:space="preserve">the Shapley value of</w:t>
      </w:r>
      <w:r>
        <w:rPr>
          <w:iCs/>
          <w:i/>
        </w:rPr>
        <w:t xml:space="preserve"> </w:t>
      </w:r>
      <m:oMath>
        <m:r>
          <m:t>v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is, for</w:t>
      </w:r>
      <w:r>
        <w:rPr>
          <w:iCs/>
          <w:i/>
        </w:rPr>
        <w:t xml:space="preserve"> </w:t>
      </w:r>
      <m:oMath>
        <m:r>
          <m:t>k</m:t>
        </m:r>
        <m:r>
          <m:rPr>
            <m:sty m:val="p"/>
          </m:rPr>
          <m:t>∈</m:t>
        </m:r>
        <m:r>
          <m:t>P</m:t>
        </m:r>
      </m:oMath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w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script"/>
                </m:rPr>
                <m:t>W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den>
              </m:f>
            </m:e>
          </m:nary>
          <m:r>
            <m:t> </m:t>
          </m:r>
          <m:r>
            <m:rPr>
              <m:sty m:val="p"/>
            </m:rPr>
            <m:t>−</m:t>
          </m:r>
          <m:r>
            <m:t> 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w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script"/>
                </m:rPr>
                <m:t>W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k</m:t>
              </m:r>
              <m:r>
                <m:rPr>
                  <m:sty m:val="p"/>
                </m:rPr>
                <m:t>∈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num>
                <m:den>
                  <m:r>
                    <m:t>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w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e>
          </m:nary>
          <m:r>
            <m:rPr>
              <m:sty m:val="p"/>
            </m:rPr>
            <m:t>;</m:t>
          </m:r>
        </m:oMath>
      </m:oMathPara>
    </w:p>
    <w:p>
      <w:pPr>
        <w:numPr>
          <w:ilvl w:val="0"/>
          <w:numId w:val="1003"/>
        </w:numPr>
      </w:pP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  <m:r>
              <m:rPr>
                <m:sty m:val="p"/>
              </m:rPr>
              <m:t>∈</m:t>
            </m:r>
            <m:r>
              <m:t>P</m:t>
            </m:r>
          </m:sub>
          <m:sup>
            <m:r>
              <m:t>​</m:t>
            </m:r>
          </m:sup>
          <m:e>
            <m:sSub>
              <m:e>
                <m:r>
                  <m:t>ϕ</m:t>
                </m:r>
              </m:e>
              <m:sub>
                <m:r>
                  <m:t>k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  <m:r>
              <m:rPr>
                <m:sty m:val="p"/>
              </m:rPr>
              <m:t>∈</m:t>
            </m:r>
            <m:r>
              <m:rPr>
                <m:sty m:val="p"/>
                <m:scr m:val="script"/>
              </m:rPr>
              <m:t>W</m:t>
            </m:r>
            <m:r>
              <m:rPr>
                <m:sty m:val="p"/>
              </m:rPr>
              <m:t>:</m:t>
            </m:r>
            <m:r>
              <m:t> </m:t>
            </m:r>
            <m:r>
              <m:t>I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w</m:t>
                </m:r>
              </m:e>
            </m:d>
            <m:r>
              <m:rPr>
                <m:sty m:val="p"/>
              </m:rPr>
              <m:t>=</m:t>
            </m:r>
            <m:r>
              <m:rPr>
                <m:sty m:val="p"/>
              </m:rPr>
              <m:t>∅</m:t>
            </m:r>
          </m:sub>
          <m:sup>
            <m:r>
              <m:t>​</m:t>
            </m:r>
          </m:sup>
          <m:e>
            <m:r>
              <m:t>ω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rPr>
          <w:iCs/>
          <w:i/>
        </w:rPr>
        <w:t xml:space="preserve">;</w:t>
      </w:r>
    </w:p>
    <w:p>
      <w:pPr>
        <w:numPr>
          <w:ilvl w:val="0"/>
          <w:numId w:val="1003"/>
        </w:numPr>
      </w:pPr>
      <w:r>
        <w:rPr>
          <w:iCs/>
          <w:i/>
        </w:rPr>
        <w:t xml:space="preserve">if</w:t>
      </w:r>
      <w:r>
        <w:rPr>
          <w:iCs/>
          <w:i/>
        </w:rPr>
        <w:t xml:space="preserve"> </w:t>
      </w:r>
      <m:oMath>
        <m:sSubSup>
          <m:e>
            <m:r>
              <m:t>S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rPr>
                <m:sty m:val="p"/>
              </m:rPr>
              <m:t>f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m:oMath>
        <m:sSubSup>
          <m:e>
            <m:r>
              <m:t>S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rPr>
                <m:sty m:val="p"/>
              </m:rPr>
              <m:t>f</m:t>
            </m:r>
          </m:sup>
        </m:sSubSup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≥</m:t>
        </m:r>
        <m:r>
          <m:t>0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for all</w:t>
      </w:r>
      <w:r>
        <w:rPr>
          <w:iCs/>
          <w:i/>
        </w:rPr>
        <w:t xml:space="preserve"> </w:t>
      </w:r>
      <m:oMath>
        <m:r>
          <m:t>K</m:t>
        </m:r>
        <m:r>
          <m:rPr>
            <m:sty m:val="p"/>
          </m:rPr>
          <m:t>⊆</m:t>
        </m:r>
        <m:r>
          <m:t>P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m:oMath>
        <m:r>
          <m:t>t</m:t>
        </m:r>
        <m:r>
          <m:rPr>
            <m:sty m:val="p"/>
          </m:rPr>
          <m:t>&lt;</m:t>
        </m:r>
        <m:r>
          <m:t>T</m:t>
        </m:r>
      </m:oMath>
      <w:r>
        <w:rPr>
          <w:iCs/>
          <w:i/>
        </w:rPr>
        <w:t xml:space="preserve">, then</w:t>
      </w:r>
      <w:r>
        <w:rPr>
          <w:iCs/>
          <w:i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iCs/>
          <w:i/>
        </w:rPr>
        <w:t xml:space="preserve">, so</w:t>
      </w:r>
      <w:r>
        <w:rPr>
          <w:iCs/>
          <w:i/>
        </w:rPr>
        <w:t xml:space="preserve"> </w:t>
      </w:r>
      <w:hyperlink w:anchor="eq:phi">
        <w:r>
          <w:rPr>
            <w:rStyle w:val="Hyperlink"/>
            <w:iCs/>
            <w:i/>
          </w:rPr>
          <w:t xml:space="preserve">[eq:phi]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gives the exact Shapley values of the hinge game.</w:t>
      </w:r>
    </w:p>
    <w:bookmarkEnd w:id="33"/>
    <w:p>
      <w:pPr>
        <w:pStyle w:val="FirstParagraph"/>
      </w:pPr>
      <w:r>
        <w:t xml:space="preserve">The games are defined through</w:t>
      </w:r>
      <w: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t xml:space="preserve">. By Proposition </w:t>
      </w:r>
      <w:hyperlink w:anchor="prop:B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t xml:space="preserve"> </w:t>
      </w:r>
      <w:r>
        <w:t xml:space="preserve">is the change in the</w:t>
      </w:r>
      <w:r>
        <w:t xml:space="preserve"> </w:t>
      </w:r>
      <w:r>
        <w:t xml:space="preserve">cumulative stress of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o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when the reference path satisfies the structural</w:t>
      </w:r>
      <w:r>
        <w:t xml:space="preserve"> </w:t>
      </w:r>
      <w:r>
        <w:t xml:space="preserve">equations at every entity outside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second term of</w:t>
      </w:r>
      <w:r>
        <w:t xml:space="preserve"> </w:t>
      </w:r>
      <w:hyperlink w:anchor="eq:phi">
        <w:r>
          <w:rPr>
            <w:rStyle w:val="Hyperlink"/>
          </w:rPr>
          <w:t xml:space="preserve">[eq:phi]</w:t>
        </w:r>
      </w:hyperlink>
      <w:r>
        <w:t xml:space="preserve"> </w:t>
      </w:r>
      <w:r>
        <w:t xml:space="preserve">is the negative credit that an intermediate candidate</w:t>
      </w:r>
      <w:r>
        <w:t xml:space="preserve"> </w:t>
      </w:r>
      <w:r>
        <w:t xml:space="preserve">source receives on walks that pass through it. A walk that reaches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through a second</w:t>
      </w:r>
      <w:r>
        <w:t xml:space="preserve"> </w:t>
      </w:r>
      <w:r>
        <w:t xml:space="preserve">candidate source contributes positively to the originating source and negatively to the</w:t>
      </w:r>
      <w:r>
        <w:t xml:space="preserve"> </w:t>
      </w:r>
      <w:r>
        <w:t xml:space="preserve">intermediary. The games here let unselected entities propagate, as in</w:t>
      </w:r>
      <w:r>
        <w:t xml:space="preserve"> </w:t>
      </w:r>
      <w:hyperlink w:anchor="eq:propagate">
        <w:r>
          <w:rPr>
            <w:rStyle w:val="Hyperlink"/>
          </w:rPr>
          <w:t xml:space="preserve">[eq:propagate]</w:t>
        </w:r>
      </w:hyperlink>
      <w:r>
        <w:t xml:space="preserve">.</w:t>
      </w:r>
      <w:r>
        <w:t xml:space="preserve"> </w:t>
      </w:r>
      <w:r>
        <w:t xml:space="preserve">The Bybit Shapley values in Section </w:t>
      </w:r>
      <w:hyperlink w:anchor="subsec:attribution">
        <w:r>
          <w:rPr>
            <w:rStyle w:val="Hyperlink"/>
          </w:rPr>
          <w:t xml:space="preserve">5.2</w:t>
        </w:r>
      </w:hyperlink>
      <w:r>
        <w:t xml:space="preserve"> </w:t>
      </w:r>
      <w:r>
        <w:t xml:space="preserve">use a different game, in which every</w:t>
      </w:r>
      <w:r>
        <w:t xml:space="preserve"> </w:t>
      </w:r>
      <w:r>
        <w:t xml:space="preserve">non-candidate entity is held at its pre-crisis level, so Proposition </w:t>
      </w:r>
      <w:hyperlink w:anchor="prop:C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does not</w:t>
      </w:r>
      <w:r>
        <w:t xml:space="preserve"> </w:t>
      </w:r>
      <w:r>
        <w:t xml:space="preserve">describe them. The walk representation is verified numerically on synthetic paths only</w:t>
      </w:r>
      <w:r>
        <w:t xml:space="preserve"> </w:t>
      </w:r>
      <w:r>
        <w:t xml:space="preserve">(Appendix </w:t>
      </w:r>
      <w:hyperlink w:anchor="app:bounds">
        <w:r>
          <w:rPr>
            <w:rStyle w:val="Hyperlink"/>
          </w:rPr>
          <w:t xml:space="preserve">11</w:t>
        </w:r>
      </w:hyperlink>
      <w:r>
        <w:t xml:space="preserve">). Proposition </w:t>
      </w:r>
      <w:hyperlink w:anchor="prop:C">
        <w:r>
          <w:rPr>
            <w:rStyle w:val="Hyperlink"/>
          </w:rPr>
          <w:t xml:space="preserve">4</w:t>
        </w:r>
      </w:hyperlink>
      <w:r>
        <w:t xml:space="preserve">(d) gives the closed form of the hinge game whenever the hinge is inactive.</w:t>
      </w:r>
    </w:p>
    <w:p>
      <w:pPr>
        <w:pStyle w:val="BodyText"/>
      </w:pPr>
      <w:r>
        <w:rPr>
          <w:bCs/>
          <w:b/>
        </w:rPr>
        <w:t xml:space="preserve">Input:</w:t>
      </w:r>
      <w:r>
        <w:t xml:space="preserve"> </w:t>
      </w:r>
      <w:r>
        <w:t xml:space="preserve">candidate sources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P</m:t>
            </m:r>
          </m:e>
        </m:d>
      </m:oMath>
      <w:r>
        <w:t xml:space="preserve">; value oracle</w:t>
      </w:r>
      <w:r>
        <w:t xml:space="preserve"> </w:t>
      </w:r>
      <m:oMath>
        <m:r>
          <m:t>v</m:t>
        </m:r>
        <m:r>
          <m:rPr>
            <m:sty m:val="p"/>
          </m:rPr>
          <m:t>:</m:t>
        </m:r>
        <m:sSup>
          <m:e>
            <m:r>
              <m:t>2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(a linear or hinge window propagation)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←</m:t>
        </m:r>
      </m:oMath>
      <w:r>
        <w:t xml:space="preserve"> </w:t>
      </w:r>
      <w:r>
        <w:t xml:space="preserve">oracle evaluation (one forward propagation of the window)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  <m:r>
              <m:rPr>
                <m:sty m:val="p"/>
              </m:rPr>
              <m:t>⊆</m:t>
            </m:r>
            <m:r>
              <m:t>P</m:t>
            </m:r>
            <m:r>
              <m:rPr>
                <m:sty m:val="p"/>
              </m:rPr>
              <m:t>\</m:t>
            </m:r>
            <m:r>
              <m:rPr>
                <m:sty m:val="p"/>
              </m:rPr>
              <m:t>{</m:t>
            </m:r>
            <m:r>
              <m:t>k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f>
              <m:fPr>
                <m:type m:val="bar"/>
              </m:fPr>
              <m:num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</m:e>
                </m:d>
                <m:r>
                  <m:rPr>
                    <m:sty m:val="p"/>
                  </m:rPr>
                  <m:t>!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!</m:t>
                </m:r>
              </m:num>
              <m:den>
                <m:r>
                  <m:t>p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d>
          <m:dPr>
            <m:begChr m:val="("/>
            <m:endChr m:val=")"/>
            <m:sepChr m:val=""/>
            <m:grow/>
          </m:dPr>
          <m:e>
            <m:r>
              <m:t>v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K</m:t>
                </m:r>
                <m:r>
                  <m:rPr>
                    <m:sty m:val="p"/>
                  </m:rPr>
                  <m:t>∪</m:t>
                </m:r>
                <m:r>
                  <m:rPr>
                    <m:sty m:val="p"/>
                  </m:rPr>
                  <m:t>{</m:t>
                </m:r>
                <m:r>
                  <m:t>k</m:t>
                </m:r>
                <m:r>
                  <m:rPr>
                    <m:sty m:val="p"/>
                  </m:rPr>
                  <m:t>}</m:t>
                </m:r>
              </m:e>
            </m:d>
            <m:r>
              <m:rPr>
                <m:sty m:val="p"/>
              </m:rPr>
              <m:t>−</m:t>
            </m:r>
            <m:r>
              <m:t>v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K</m:t>
                </m:r>
              </m:e>
            </m:d>
          </m:e>
        </m:d>
      </m:oMath>
      <w:r>
        <w:t xml:space="preserve"> </w:t>
      </w:r>
      <w:r>
        <w:rPr>
          <w:bCs/>
          <w:b/>
        </w:rPr>
        <w:t xml:space="preserve">Output: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ϕ</m:t>
            </m:r>
          </m:e>
          <m:sub>
            <m:r>
              <m:t>k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k</m:t>
            </m:r>
            <m:r>
              <m:rPr>
                <m:sty m:val="p"/>
              </m:rPr>
              <m:t>∈</m:t>
            </m:r>
            <m:r>
              <m:t>P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ϕ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∅</m:t>
            </m:r>
          </m:e>
        </m:d>
      </m:oMath>
    </w:p>
    <w:p>
      <w:pPr>
        <w:pStyle w:val="BodyText"/>
      </w:pPr>
      <w:r>
        <w:t xml:space="preserve">Shapley’s definition averages marginal contributions over the</w:t>
      </w:r>
      <w:r>
        <w:t xml:space="preserve"> </w:t>
      </w:r>
      <m:oMath>
        <m:r>
          <m:t>p</m:t>
        </m:r>
        <m:r>
          <m:rPr>
            <m:sty m:val="p"/>
          </m:rPr>
          <m:t>!</m:t>
        </m:r>
      </m:oMath>
      <w:r>
        <w:t xml:space="preserve"> </w:t>
      </w:r>
      <w:r>
        <w:t xml:space="preserve">orderings of the players</w:t>
      </w:r>
      <w:r>
        <w:t xml:space="preserve"> </w:t>
      </w:r>
      <w:r>
        <w:t xml:space="preserve">(Shapley 1953)</w:t>
      </w:r>
      <w:r>
        <w:t xml:space="preserve">. Algorithm </w:t>
      </w:r>
      <w:hyperlink w:anchor="alg:shapley">
        <w:r>
          <w:rPr>
            <w:rStyle w:val="Hyperlink"/>
          </w:rPr>
          <w:t xml:space="preserve">[alg:shapley]</w:t>
        </w:r>
      </w:hyperlink>
      <w:r>
        <w:t xml:space="preserve"> </w:t>
      </w:r>
      <w:r>
        <w:t xml:space="preserve">evaluates the game once on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subsets and weights the marginals by the number of orderings that place each coalition first. It is exact and uses no sampling. The number of oracle</w:t>
      </w:r>
      <w:r>
        <w:t xml:space="preserve"> </w:t>
      </w:r>
      <w:r>
        <w:t xml:space="preserve">calls falls from</w:t>
      </w:r>
      <w:r>
        <w:t xml:space="preserve"> </w:t>
      </w:r>
      <m:oMath>
        <m:r>
          <m:t>p</m:t>
        </m:r>
        <m:r>
          <m:rPr>
            <m:sty m:val="p"/>
          </m:rPr>
          <m:t>!</m:t>
        </m:r>
        <m:r>
          <m:t> </m:t>
        </m:r>
        <m:r>
          <m:t>p</m:t>
        </m:r>
      </m:oMath>
      <w:r>
        <w:t xml:space="preserve"> </w:t>
      </w:r>
      <w:r>
        <w:t xml:space="preserve">for permutation enumeration to</w:t>
      </w:r>
      <w:r>
        <w:t xml:space="preserve"> 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. Each call costs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d>
              <m:dPr>
                <m:begChr m:val="("/>
                <m:endChr m:val=")"/>
                <m:sepChr m:val=""/>
                <m:grow/>
              </m:dPr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V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E</m:t>
                    </m:r>
                  </m:e>
                </m:d>
              </m:e>
            </m:d>
          </m:e>
        </m:d>
      </m:oMath>
      <w:r>
        <w:t xml:space="preserve"> </w:t>
      </w:r>
      <w:r>
        <w:t xml:space="preserve">by forward propagation.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the saving is 8</w:t>
      </w:r>
      <w:r>
        <w:t xml:space="preserve">,</w:t>
      </w:r>
      <w:r>
        <w:t xml:space="preserve">192 calls against 80</w:t>
      </w:r>
      <w:r>
        <w:t xml:space="preserve">,</w:t>
      </w:r>
      <w:r>
        <w:t xml:space="preserve">951</w:t>
      </w:r>
      <w:r>
        <w:t xml:space="preserve">,</w:t>
      </w:r>
      <w:r>
        <w:t xml:space="preserve">270</w:t>
      </w:r>
      <w:r>
        <w:t xml:space="preserve">,</w:t>
      </w:r>
      <w:r>
        <w:t xml:space="preserve">400 permutation</w:t>
      </w:r>
      <w:r>
        <w:t xml:space="preserve"> </w:t>
      </w:r>
      <w:r>
        <w:t xml:space="preserve">evaluations, which is the comparison used in Appendix </w:t>
      </w:r>
      <w:hyperlink w:anchor="app:bounds">
        <w:r>
          <w:rPr>
            <w:rStyle w:val="Hyperlink"/>
          </w:rPr>
          <w:t xml:space="preserve">11</w:t>
        </w:r>
      </w:hyperlink>
      <w:r>
        <w:t xml:space="preserve">.</w:t>
      </w:r>
    </w:p>
    <w:bookmarkEnd w:id="34"/>
    <w:bookmarkStart w:id="35" w:name="subsec:uncertainty"/>
    <w:p>
      <w:pPr>
        <w:pStyle w:val="Heading2"/>
      </w:pPr>
      <w:r>
        <w:t xml:space="preserve">Uncertainty quantification</w:t>
      </w:r>
    </w:p>
    <w:p>
      <w:pPr>
        <w:numPr>
          <w:ilvl w:val="0"/>
          <w:numId w:val="1004"/>
        </w:numPr>
      </w:pPr>
      <w:r>
        <w:rPr>
          <w:iCs/>
          <w:i/>
        </w:rPr>
        <w:t xml:space="preserve">Monte Carlo error.</w:t>
      </w:r>
      <w:r>
        <w:t xml:space="preserve"> </w:t>
      </w:r>
      <w:r>
        <w:t xml:space="preserve">20 independent repeats of 500 simulations are used.</w:t>
      </w:r>
      <w:r>
        <w:t xml:space="preserve"> </w:t>
      </w:r>
      <w:r>
        <w:t xml:space="preserve">The standard error at the point setting (2</w:t>
      </w:r>
      <w:r>
        <w:t xml:space="preserve">,</w:t>
      </w:r>
      <w:r>
        <w:t xml:space="preserve">000 paths) is the repeat standard deviation scaled by</w:t>
      </w:r>
      <w:r>
        <w:t xml:space="preserve"> </w:t>
      </w:r>
      <m:oMath>
        <m:rad>
          <m:radPr>
            <m:degHide m:val="on"/>
          </m:radPr>
          <m:deg/>
          <m:e>
            <m:r>
              <m:t>500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000</m:t>
            </m:r>
          </m:e>
        </m:rad>
      </m:oMath>
      <w:r>
        <w:t xml:space="preserve">. Monte-Carlo error is negligible against the bootstrap widths reported below.</w:t>
      </w:r>
    </w:p>
    <w:p>
      <w:pPr>
        <w:numPr>
          <w:ilvl w:val="0"/>
          <w:numId w:val="1004"/>
        </w:numPr>
      </w:pPr>
      <w:r>
        <w:rPr>
          <w:iCs/>
          <w:i/>
        </w:rPr>
        <w:t xml:space="preserve">Coefficient uncertainty.</w:t>
      </w:r>
      <w:r>
        <w:t xml:space="preserve"> </w:t>
      </w:r>
      <w:r>
        <w:t xml:space="preserve">We use a joint circular-block pairs bootstrap of fit-window rows.</w:t>
      </w:r>
      <w:r>
        <w:t xml:space="preserve"> </w:t>
      </w:r>
      <w:r>
        <w:t xml:space="preserve">All entities share the drawn hours, which preserves cross-sectional dependence. The block length is</w:t>
      </w:r>
      <w:r>
        <w:t xml:space="preserve"> </w:t>
      </w:r>
      <w:r>
        <w:t xml:space="preserve">24 hours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300</m:t>
        </m:r>
      </m:oMath>
      <w:r>
        <w:t xml:space="preserve">. Each replicate refits the ridge equations with the same penalty</w:t>
      </w:r>
      <w:r>
        <w:t xml:space="preserve"> </w:t>
      </w:r>
      <w:r>
        <w:t xml:space="preserve">and draws its shock pool from the residuals of its own drawn rows, with 500 simulations per</w:t>
      </w:r>
      <w:r>
        <w:t xml:space="preserve"> </w:t>
      </w:r>
      <w:r>
        <w:t xml:space="preserve">replicate. The sample quantile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held fixed, so its sampling error is not included; this is a</w:t>
      </w:r>
      <w:r>
        <w:t xml:space="preserve"> </w:t>
      </w:r>
      <w:r>
        <w:t xml:space="preserve">limitation. The outputs are percentile intervals for exported risk, percentile rank intervals,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top-1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top-3</m:t>
            </m:r>
          </m:e>
        </m:d>
      </m:oMath>
      <w:r>
        <w:t xml:space="preserve">, pairwise probabilities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ranks above</w:t>
      </w:r>
      <w:r>
        <w:t xml:space="preserve"> </w:t>
      </w:r>
      <m:oMath>
        <m:r>
          <m:t>j</m:t>
        </m:r>
      </m:oMath>
      <w:r>
        <w:t xml:space="preserve">, Spearman</w:t>
      </w:r>
      <w:r>
        <w:t xml:space="preserve"> </w:t>
      </w:r>
      <w:r>
        <w:t xml:space="preserve">correlations between replicate and point rankings, share intervals, and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attribution</m:t>
            </m:r>
            <m:r>
              <m:rPr>
                <m:sty m:val="p"/>
              </m:rPr>
              <m:t>&gt;</m:t>
            </m:r>
            <m:r>
              <m:t>0</m:t>
            </m:r>
          </m:e>
        </m:d>
      </m:oMath>
      <w:r>
        <w:t xml:space="preserve">.</w:t>
      </w:r>
      <w:r>
        <w:t xml:space="preserve"> </w:t>
      </w:r>
      <w:r>
        <w:t xml:space="preserve">Channel intervals are not selection-adjusted: the top ten channels are chosen on the point estimate.</w:t>
      </w:r>
    </w:p>
    <w:p>
      <w:pPr>
        <w:numPr>
          <w:ilvl w:val="0"/>
          <w:numId w:val="1004"/>
        </w:numPr>
      </w:pPr>
      <w:r>
        <w:rPr>
          <w:iCs/>
          <w:i/>
        </w:rPr>
        <w:t xml:space="preserve">Paired prediction comparisons.</w:t>
      </w:r>
      <w:r>
        <w:t xml:space="preserve"> </w:t>
      </w:r>
      <w:r>
        <w:t xml:space="preserve">We use a circular block bootstrap over event hours, with all</w:t>
      </w:r>
      <w:r>
        <w:t xml:space="preserve"> </w:t>
      </w:r>
      <w:r>
        <w:t xml:space="preserve">entities of an hour resampled together,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and 24-hour blocks; 8-hour</w:t>
      </w:r>
      <w:r>
        <w:t xml:space="preserve"> </w:t>
      </w:r>
      <w:r>
        <w:t xml:space="preserve">blocks are a sensitivity check. The circular scheme is used because the non-circular moving-block</w:t>
      </w:r>
      <w:r>
        <w:t xml:space="preserve"> </w:t>
      </w:r>
      <w:r>
        <w:t xml:space="preserve">bootstrap</w:t>
      </w:r>
      <w:r>
        <w:t xml:space="preserve"> </w:t>
      </w:r>
      <w:r>
        <w:t xml:space="preserve">(Künsch 1989)</w:t>
      </w:r>
      <w:r>
        <w:t xml:space="preserve"> </w:t>
      </w:r>
      <w:r>
        <w:t xml:space="preserve">gives the end steps less weight, and with only two blocks this can</w:t>
      </w:r>
      <w:r>
        <w:t xml:space="preserve"> </w:t>
      </w:r>
      <w:r>
        <w:t xml:space="preserve">move the interval away from the sample mean. With two 24-hour blocks the intervals are indicative only.</w:t>
      </w:r>
    </w:p>
    <w:p>
      <w:pPr>
        <w:numPr>
          <w:ilvl w:val="0"/>
          <w:numId w:val="1004"/>
        </w:numPr>
      </w:pPr>
      <w:r>
        <w:rPr>
          <w:iCs/>
          <w:i/>
        </w:rPr>
        <w:t xml:space="preserve">Explained variance.</w:t>
      </w:r>
      <w:r>
        <w:t xml:space="preserve"> </w:t>
      </w:r>
      <w:r>
        <w:t xml:space="preserve">We report in-sample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together with an optimism correction, the mean</w:t>
      </w:r>
      <w:r>
        <w:t xml:space="preserve"> </w:t>
      </w:r>
      <w:r>
        <w:t xml:space="preserve">over replicates of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own resample minus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original rows), subtracted from the point</w:t>
      </w:r>
      <w:r>
        <w:t xml:space="preserve"> </w:t>
      </w:r>
      <w:r>
        <w:t xml:space="preserve">estimate</w:t>
      </w:r>
      <w:r>
        <w:t xml:space="preserve"> </w:t>
      </w:r>
      <w:r>
        <w:t xml:space="preserve">(Efron 1983)</w:t>
      </w:r>
      <w:r>
        <w:t xml:space="preserve">. The interval for the corrected value is the percentile interval of the point estimate minus the</w:t>
      </w:r>
      <w:r>
        <w:t xml:space="preserve"> </w:t>
      </w:r>
      <w:r>
        <w:t xml:space="preserve">replicate optimism. Out-of-sample one-step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uses an expanding-window ridge refit</w:t>
      </w:r>
      <w:r>
        <w:t xml:space="preserve"> </w:t>
      </w:r>
      <w:r>
        <w:t xml:space="preserve">before each event hour,</w:t>
      </w:r>
      <w:r>
        <w:t xml:space="preserve"> </w:t>
      </w:r>
      <m:oMath>
        <m:sSubSup>
          <m:e>
            <m:r>
              <m:t>R</m:t>
            </m:r>
          </m:e>
          <m:sub>
            <m:r>
              <m:t>O</m:t>
            </m:r>
            <m:r>
              <m:t>S</m:t>
            </m:r>
          </m:sub>
          <m:sup>
            <m:r>
              <m:t>2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</m:e>
        </m:d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expanding mean</m:t>
            </m:r>
          </m:e>
        </m:d>
      </m:oMath>
      <w:r>
        <w:t xml:space="preserve">, pooled over</w:t>
      </w:r>
      <w:r>
        <w:t xml:space="preserve"> </w:t>
      </w:r>
      <w:r>
        <w:t xml:space="preserve">entity-hours of z-scored stress, following the out-of-sample convention of</w:t>
      </w:r>
      <w:r>
        <w:t xml:space="preserve"> </w:t>
      </w:r>
      <w:r>
        <w:t xml:space="preserve">Campbell and Thompson (2008)</w:t>
      </w:r>
      <w:r>
        <w:t xml:space="preserve">.</w:t>
      </w:r>
      <w:r>
        <w:t xml:space="preserve"> </w:t>
      </w:r>
      <w:r>
        <w:t xml:space="preserve">The network gain over the own lag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</m:e>
        </m:d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</m:d>
      </m:oMath>
      <w:r>
        <w:t xml:space="preserve">. The models are</w:t>
      </w:r>
      <w:r>
        <w:t xml:space="preserve"> </w:t>
      </w:r>
      <w:r>
        <w:t xml:space="preserve">an AR(1) own lag, the network equation of</w:t>
      </w:r>
      <w:r>
        <w:t xml:space="preserve"> </w:t>
      </w:r>
      <w:hyperlink w:anchor="eq:fi">
        <w:r>
          <w:rPr>
            <w:rStyle w:val="Hyperlink"/>
          </w:rPr>
          <w:t xml:space="preserve">[eq:fi]</w:t>
        </w:r>
      </w:hyperlink>
      <w:r>
        <w:t xml:space="preserve"> </w:t>
      </w:r>
      <w:r>
        <w:t xml:space="preserve">without an own lag, and AR plus network.</w:t>
      </w:r>
    </w:p>
    <w:p>
      <w:pPr>
        <w:numPr>
          <w:ilvl w:val="0"/>
          <w:numId w:val="1004"/>
        </w:numPr>
      </w:pPr>
      <w:r>
        <w:rPr>
          <w:iCs/>
          <w:i/>
        </w:rPr>
        <w:t xml:space="preserve">Placebo designs.</w:t>
      </w:r>
      <w:r>
        <w:t xml:space="preserve"> </w:t>
      </w:r>
      <w:r>
        <w:t xml:space="preserve">The structural zero (Corollary </w:t>
      </w:r>
      <w:hyperlink w:anchor="cor:zero">
        <w:r>
          <w:rPr>
            <w:rStyle w:val="Hyperlink"/>
          </w:rPr>
          <w:t xml:space="preserve">2</w:t>
        </w:r>
      </w:hyperlink>
      <w:r>
        <w:t xml:space="preserve">) is a property, not evidence.</w:t>
      </w:r>
      <w:r>
        <w:t xml:space="preserve"> </w:t>
      </w:r>
      <w:r>
        <w:t xml:space="preserve">The rolling calm-window statistic is the mean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nor/>
                <m:sty m:val="p"/>
              </m:rPr>
              <m:t>attribution</m:t>
            </m:r>
          </m:e>
        </m:d>
      </m:oMath>
      <w:r>
        <w:t xml:space="preserve"> </w:t>
      </w:r>
      <w:r>
        <w:t xml:space="preserve">over connected ordered pairs.</w:t>
      </w:r>
      <w:r>
        <w:t xml:space="preserve"> </w:t>
      </w:r>
      <w:r>
        <w:t xml:space="preserve">Calm windows have the event length, start every 24 hours after the first 72 fit hours, and</w:t>
      </w:r>
      <w:r>
        <w:t xml:space="preserve"> </w:t>
      </w:r>
      <w:r>
        <w:t xml:space="preserve">end at least 24 hours before the event.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calm windows,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#</m:t>
            </m:r>
            <m:r>
              <m:rPr>
                <m:sty m:val="p"/>
              </m:rPr>
              <m:t>{</m:t>
            </m:r>
            <m:r>
              <m:rPr>
                <m:nor/>
                <m:sty m:val="p"/>
              </m:rPr>
              <m:t>calm</m:t>
            </m:r>
            <m:r>
              <m:rPr>
                <m:sty m:val="p"/>
              </m:rPr>
              <m:t>≥</m:t>
            </m:r>
            <m:r>
              <m:rPr>
                <m:nor/>
                <m:sty m:val="p"/>
              </m:rPr>
              <m:t>event</m:t>
            </m:r>
            <m:r>
              <m:rPr>
                <m:sty m:val="p"/>
              </m:rPr>
              <m:t>}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,</w:t>
      </w:r>
      <w:r>
        <w:t xml:space="preserve"> </w:t>
      </w:r>
      <w:r>
        <w:t xml:space="preserve">and the placebo passes if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0.10</m:t>
        </m:r>
      </m:oMath>
      <w:r>
        <w:t xml:space="preserve">. The time-shift placebo circularly shifts each entity’s fit-window stress by an</w:t>
      </w:r>
      <w:r>
        <w:t xml:space="preserve"> </w:t>
      </w:r>
      <w:r>
        <w:t xml:space="preserve">independent offset in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72</m:t>
            </m:r>
            <m:r>
              <m:rPr>
                <m:sty m:val="p"/>
              </m:rPr>
              <m:t>,</m:t>
            </m:r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fit</m:t>
                </m:r>
              </m:sub>
            </m:sSub>
            <m:r>
              <m:rPr>
                <m:sty m:val="p"/>
              </m:rPr>
              <m:t>−</m:t>
            </m:r>
            <m:r>
              <m:t>72</m:t>
            </m:r>
          </m:e>
        </m:d>
      </m:oMath>
      <w:r>
        <w:t xml:space="preserve"> </w:t>
      </w:r>
      <w:r>
        <w:t xml:space="preserve">hours, refits with the real flows, and uses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replicates. Its</w:t>
      </w:r>
      <w:r>
        <w:t xml:space="preserve"> </w:t>
      </w:r>
      <m:oMath>
        <m:r>
          <m:t>p</m:t>
        </m:r>
      </m:oMath>
      <w:r>
        <w:t xml:space="preserve">-value has floor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 </w:t>
      </w:r>
      <w:r>
        <w:t xml:space="preserve">and it passes if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0.05</m:t>
        </m:r>
      </m:oMath>
      <w:r>
        <w:t xml:space="preserve">. The constants</w:t>
      </w:r>
      <w:r>
        <w:t xml:space="preserve"> </w:t>
      </w:r>
      <w:r>
        <w:t xml:space="preserve">(24-hour step, 24-hour gap, 72-hour minimum shift, and the thresholds 0.10 and 0.05)</w:t>
      </w:r>
      <w:r>
        <w:t xml:space="preserve"> </w:t>
      </w:r>
      <w:r>
        <w:t xml:space="preserve">are fixed in the validation code rather than tuned. No multiplicity correction is applied.</w:t>
      </w:r>
    </w:p>
    <w:bookmarkEnd w:id="35"/>
    <w:bookmarkStart w:id="36" w:name="subsec:design"/>
    <w:p>
      <w:pPr>
        <w:pStyle w:val="Heading2"/>
      </w:pPr>
      <w:r>
        <w:t xml:space="preserve">Diagnostics: graph source, direction and confounding</w:t>
      </w:r>
    </w:p>
    <w:p>
      <w:pPr>
        <w:pStyle w:val="FirstParagraph"/>
      </w:pPr>
      <w:r>
        <w:t xml:space="preserve">To test A3 we construct three variants of</w:t>
      </w:r>
      <w:r>
        <w:t xml:space="preserve"> </w:t>
      </w:r>
      <m:oMath>
        <m:r>
          <m:t>G</m:t>
        </m:r>
      </m:oMath>
      <w:r>
        <w:t xml:space="preserve">: the true-direction graph, a reversed graph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p>
      </m:oMath>
      <w:r>
        <w:t xml:space="preserve">, and a symmetric graph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p>
        </m:sSup>
      </m:oMath>
      <w:r>
        <w:t xml:space="preserve">. Each is fitted on the</w:t>
      </w:r>
      <w:r>
        <w:t xml:space="preserve"> </w:t>
      </w:r>
      <w:r>
        <w:t xml:space="preserve">estimation window and compared on one-step-ahead prediction of event-window stress by the</w:t>
      </w:r>
      <w:r>
        <w:t xml:space="preserve"> </w:t>
      </w:r>
      <w:r>
        <w:t xml:space="preserve">stress-weighted root-mean-square error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</m:e>
            </m:nary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</m:e>
        </m:d>
        <m:r>
          <m:rPr>
            <m:sty m:val="p"/>
          </m:rPr>
          <m:t>+</m:t>
        </m:r>
        <m:r>
          <m:t>0.1</m:t>
        </m:r>
      </m:oMath>
      <w:r>
        <w:t xml:space="preserve">. Because A2 is not directly testable, we report the robustness</w:t>
      </w:r>
      <w:r>
        <w:t xml:space="preserve"> </w:t>
      </w:r>
      <w:r>
        <w:t xml:space="preserve">value of</w:t>
      </w:r>
      <w:r>
        <w:t xml:space="preserve"> </w:t>
      </w:r>
      <w:r>
        <w:t xml:space="preserve">Cinelli and Hazlett (2020)</w:t>
      </w:r>
      <w:r>
        <w:t xml:space="preserve">. For a coefficient with</w:t>
      </w:r>
      <w:r>
        <w:t xml:space="preserve"> </w:t>
      </w:r>
      <m:oMath>
        <m:r>
          <m:t>t</m:t>
        </m:r>
      </m:oMath>
      <w:r>
        <w:t xml:space="preserve">-statistic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degrees of freedom 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V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ad>
                <m:radPr>
                  <m:degHide m:val="on"/>
                </m:radPr>
                <m:deg/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f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−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is the share of residual variance a confounder must explain in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the parent and</w:t>
      </w:r>
      <w:r>
        <w:t xml:space="preserve"> </w:t>
      </w:r>
      <w:r>
        <w:t xml:space="preserve">the child to drive the coefficient to zero. Baselines are</w:t>
      </w:r>
      <w:r>
        <w:t xml:space="preserve"> </w:t>
      </w:r>
      <m:oMath>
        <m:r>
          <m:t>Δ</m:t>
        </m:r>
      </m:oMath>
      <w:r>
        <w:t xml:space="preserve">CoVaR</w:t>
      </w:r>
      <w:r>
        <w:t xml:space="preserve"> </w:t>
      </w:r>
      <w:r>
        <w:t xml:space="preserve">(Adrian and Brunnermeier 2016)</w:t>
      </w:r>
      <w:r>
        <w:t xml:space="preserve">, MES</w:t>
      </w:r>
      <w:r>
        <w:t xml:space="preserve"> </w:t>
      </w:r>
      <w:r>
        <w:t xml:space="preserve">(Acharya et al. 2017)</w:t>
      </w:r>
      <w:r>
        <w:t xml:space="preserve">,</w:t>
      </w:r>
      <w:r>
        <w:t xml:space="preserve"> </w:t>
      </w:r>
      <w:r>
        <w:t xml:space="preserve">and, for H1, Granger and partial-correlation graphs</w:t>
      </w:r>
      <w:r>
        <w:t xml:space="preserve"> </w:t>
      </w:r>
      <w:r>
        <w:t xml:space="preserve">(Granger 1969; Giudici and Parisi 2018)</w:t>
      </w:r>
      <w:r>
        <w:t xml:space="preserve"> </w:t>
      </w:r>
      <w:r>
        <w:t xml:space="preserve">fed through the same VEIN machinery. H1 (observed versus estimated graph source) and H2 (true, reversed</w:t>
      </w:r>
      <w:r>
        <w:t xml:space="preserve"> </w:t>
      </w:r>
      <w:r>
        <w:t xml:space="preserve">and symmetric direction) are reported as diagnostics with null-hypothesis wording: the null is that the</w:t>
      </w:r>
      <w:r>
        <w:t xml:space="preserve"> </w:t>
      </w:r>
      <w:r>
        <w:t xml:space="preserve">alternative graph is no better, and a result is called inconclusive when its interval includes zero.</w:t>
      </w:r>
    </w:p>
    <w:bookmarkEnd w:id="36"/>
    <w:bookmarkEnd w:id="37"/>
    <w:bookmarkStart w:id="48" w:name="sec:data"/>
    <w:p>
      <w:pPr>
        <w:pStyle w:val="Heading1"/>
      </w:pPr>
      <w:r>
        <w:t xml:space="preserve">Data and Entity Resolution</w:t>
      </w:r>
    </w:p>
    <w:bookmarkStart w:id="38" w:name="subsec:data"/>
    <w:p>
      <w:pPr>
        <w:pStyle w:val="Heading2"/>
      </w:pPr>
      <w:r>
        <w:t xml:space="preserve">Sources, samples and entity set</w:t>
      </w:r>
    </w:p>
    <w:p>
      <w:pPr>
        <w:pStyle w:val="FirstParagraph"/>
      </w:pPr>
      <w:r>
        <w:t xml:space="preserve">The analysis uses public data only. Flows come from the BigQuery public dataset</w:t>
      </w:r>
      <w:r>
        <w:t xml:space="preserve"> </w:t>
      </w:r>
      <w:r>
        <w:rPr>
          <w:rStyle w:val="VerbatimChar"/>
        </w:rPr>
        <w:t xml:space="preserve">bigquery-public-data.crypto_ethereum.token_transfers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crypto_ethereum</w:t>
      </w:r>
      <w:r>
        <w:t xml:space="preserve"> </w:t>
      </w:r>
      <w:r>
        <w:t xml:space="preserve">token-transfers view), queried with partition pruning, which was verified by dry run. Prices are from CoinGecko and protocol total-value-locked (TVL) series from DefiLlama.</w:t>
      </w:r>
      <w:r>
        <w:t xml:space="preserve"> </w:t>
      </w:r>
      <w:r>
        <w:t xml:space="preserve">The main analysis is the hourly October 2025 run, with FTX and SVB as extended hourly windows. The FTX window has</w:t>
      </w:r>
      <w:r>
        <w:t xml:space="preserve"> </w:t>
      </w:r>
      <w:r>
        <w:t xml:space="preserve">912 fit rows, 96 event rows, 14 entities and 81 edges; the SVB window has</w:t>
      </w:r>
      <w:r>
        <w:t xml:space="preserve"> </w:t>
      </w:r>
      <w:r>
        <w:t xml:space="preserve">888, 96, 14 and 85. The named-to-named share of entity-touching flow is</w:t>
      </w:r>
      <w:r>
        <w:t xml:space="preserve"> </w:t>
      </w:r>
      <w:r>
        <w:t xml:space="preserve">3.0%, 2.1% and 1.6% in the October, FTX and SVB extracts. A daily core run is used only for the analytic checks of Appendix </w:t>
      </w:r>
      <w:hyperlink w:anchor="app:bounds">
        <w:r>
          <w:rPr>
            <w:rStyle w:val="Hyperlink"/>
          </w:rPr>
          <w:t xml:space="preserve">11</w:t>
        </w:r>
      </w:hyperlink>
      <w:r>
        <w:t xml:space="preserve">.</w:t>
      </w:r>
    </w:p>
    <w:p>
      <w:pPr>
        <w:pStyle w:val="BodyText"/>
      </w:pPr>
      <w:r>
        <w:t xml:space="preserve">The hourly entity set is Aave, Binance, Bitfinex, Bybit, Ceffu, Coinbase, Copper, Crypto.com, Ethena, HTX, Kraken, Lido, MakerSky, OKX and retail, with the retail node defined as all unresolved counterparties.</w:t>
      </w:r>
      <w:r>
        <w:t xml:space="preserve"> </w:t>
      </w:r>
      <w:r>
        <w:t xml:space="preserve">The top-</w:t>
      </w:r>
      <m:oMath>
        <m:r>
          <m:t>k</m:t>
        </m:r>
      </m:oMath>
      <w:r>
        <w:t xml:space="preserve"> </w:t>
      </w:r>
      <w:r>
        <w:t xml:space="preserve">cut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. The full build billed 327 GiB of BigQuery processing,</w:t>
      </w:r>
      <w:r>
        <w:t xml:space="preserve"> </w:t>
      </w:r>
      <w:r>
        <w:t xml:space="preserve">within the free monthly query allowance at the time of writing.</w:t>
      </w:r>
    </w:p>
    <w:bookmarkEnd w:id="38"/>
    <w:bookmarkStart w:id="39" w:name="subsec:resolution"/>
    <w:p>
      <w:pPr>
        <w:pStyle w:val="Heading2"/>
      </w:pPr>
      <w:r>
        <w:t xml:space="preserve">Labels and Tier-0 deposit sweeps</w:t>
      </w:r>
    </w:p>
    <w:p>
      <w:pPr>
        <w:pStyle w:val="FirstParagraph"/>
      </w:pPr>
      <w:r>
        <w:t xml:space="preserve">Address labels come from three sources. The eth-labels repository (commit</w:t>
      </w:r>
      <w:r>
        <w:t xml:space="preserve"> </w:t>
      </w:r>
      <w:r>
        <w:rPr>
          <w:rStyle w:val="VerbatimChar"/>
        </w:rPr>
        <w:t xml:space="preserve">d9b21aefeded56f7fce7208d6fa173d128526c1b</w:t>
      </w:r>
      <w:r>
        <w:t xml:space="preserve">, MIT</w:t>
      </w:r>
      <w:r>
        <w:t xml:space="preserve"> </w:t>
      </w:r>
      <w:r>
        <w:t xml:space="preserve">licence) and the etherscan-labels repository (commit</w:t>
      </w:r>
      <w:r>
        <w:t xml:space="preserve"> </w:t>
      </w:r>
      <w:r>
        <w:rPr>
          <w:rStyle w:val="VerbatimChar"/>
        </w:rPr>
        <w:t xml:space="preserve">923aba72c7e2d0682f7ae6194b6140bd90668dc9</w:t>
      </w:r>
      <w:r>
        <w:t xml:space="preserve">, MIT licence) are open.</w:t>
      </w:r>
      <w:r>
        <w:t xml:space="preserve"> </w:t>
      </w:r>
      <w:r>
        <w:t xml:space="preserve">The Dune Spellbook CEX address list (commit</w:t>
      </w:r>
      <w:r>
        <w:t xml:space="preserve"> </w:t>
      </w:r>
      <w:r>
        <w:rPr>
          <w:rStyle w:val="VerbatimChar"/>
        </w:rPr>
        <w:t xml:space="preserve">6030202f2d6ee595dc568100c62723f26e5edda5</w:t>
      </w:r>
      <w:r>
        <w:t xml:space="preserve">) is licensed under the Business Source</w:t>
      </w:r>
      <w:r>
        <w:t xml:space="preserve"> </w:t>
      </w:r>
      <w:r>
        <w:t xml:space="preserve">License 1.1. It is fetched at the pinned commit at run time, used only to build internal label tables, and not</w:t>
      </w:r>
      <w:r>
        <w:t xml:space="preserve"> </w:t>
      </w:r>
      <w:r>
        <w:t xml:space="preserve">redistributed. The released label table</w:t>
      </w:r>
      <w:r>
        <w:t xml:space="preserve"> </w:t>
      </w:r>
      <w:r>
        <w:rPr>
          <w:rStyle w:val="VerbatimChar"/>
        </w:rPr>
        <w:t xml:space="preserve">results/labels_open.csv.gz</w:t>
      </w:r>
      <w:r>
        <w:t xml:space="preserve"> </w:t>
      </w:r>
      <w:r>
        <w:t xml:space="preserve">contains MIT sources only</w:t>
      </w:r>
      <w:r>
        <w:t xml:space="preserve"> </w:t>
      </w:r>
      <w:r>
        <w:t xml:space="preserve">(24</w:t>
      </w:r>
      <w:r>
        <w:t xml:space="preserve">,</w:t>
      </w:r>
      <w:r>
        <w:t xml:space="preserve">959 addresses). In total 27</w:t>
      </w:r>
      <w:r>
        <w:t xml:space="preserve">,</w:t>
      </w:r>
      <w:r>
        <w:t xml:space="preserve">514 addresses map to a single exchange root, after one</w:t>
      </w:r>
      <w:r>
        <w:t xml:space="preserve"> </w:t>
      </w:r>
      <w:r>
        <w:t xml:space="preserve">conflicting address was dropped.</w:t>
      </w:r>
    </w:p>
    <w:p>
      <w:pPr>
        <w:pStyle w:val="BodyText"/>
      </w:pPr>
      <w:r>
        <w:t xml:space="preserve">Only wallet-kind labels and hand-curated protocol seeds enter the entity table (3</w:t>
      </w:r>
      <w:r>
        <w:t xml:space="preserve">,</w:t>
      </w:r>
      <w:r>
        <w:t xml:space="preserve">484 rows).</w:t>
      </w:r>
      <w:r>
        <w:t xml:space="preserve"> </w:t>
      </w:r>
      <w:r>
        <w:t xml:space="preserve">Deposit-kind labels are almost all Bitget (19</w:t>
      </w:r>
      <w:r>
        <w:t xml:space="preserve">,</w:t>
      </w:r>
      <w:r>
        <w:t xml:space="preserve">027) and Binance (5</w:t>
      </w:r>
      <w:r>
        <w:t xml:space="preserve">,</w:t>
      </w:r>
      <w:r>
        <w:t xml:space="preserve">014). Using them as entity</w:t>
      </w:r>
      <w:r>
        <w:t xml:space="preserve"> </w:t>
      </w:r>
      <w:r>
        <w:t xml:space="preserve">labels would bias centrality, so they are held out as the Tier-0 validation set. The DeFi protocol seeds are</w:t>
      </w:r>
      <w:r>
        <w:t xml:space="preserve"> </w:t>
      </w:r>
      <w:r>
        <w:t xml:space="preserve">Aave (10), MakerSky (6), Ethena (2) and Lido (1) addresses.</w:t>
      </w:r>
    </w:p>
    <w:p>
      <w:pPr>
        <w:pStyle w:val="BodyText"/>
      </w:pPr>
      <w:r>
        <w:t xml:space="preserve">Tier-0 is a deposit-sweep rule, with parameters read from the build record. An address is flagged when it</w:t>
      </w:r>
      <w:r>
        <w:t xml:space="preserve"> </w:t>
      </w:r>
      <w:r>
        <w:t xml:space="preserve">forwards at least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of its outflow to one exchange’s hot wallets within 24 hours, has at most</w:t>
      </w:r>
      <w:r>
        <w:t xml:space="preserve"> </w:t>
      </w:r>
      <w:r>
        <w:t xml:space="preserve">3 outgoing counterparties, and sweeps at least US$1</w:t>
      </w:r>
      <w:r>
        <w:t xml:space="preserve">,</w:t>
      </w:r>
      <w:r>
        <w:t xml:space="preserve">000. A tightened rule</w:t>
      </w:r>
      <w:r>
        <w:t xml:space="preserve"> </w:t>
      </w:r>
      <w:r>
        <w:t xml:space="preserve">(</w:t>
      </w:r>
      <m:oMath>
        <m:r>
          <m:t>τ</m:t>
        </m:r>
        <m:r>
          <m:rPr>
            <m:sty m:val="p"/>
          </m:rPr>
          <m:t>=</m:t>
        </m:r>
        <m:r>
          <m:t>0.9</m:t>
        </m:r>
      </m:oMath>
      <w:r>
        <w:t xml:space="preserve">, at most 2 counterparties) is used where the default fails acceptance (FTX).</w:t>
      </w:r>
      <w:r>
        <w:t xml:space="preserve"> </w:t>
      </w:r>
      <w:r>
        <w:t xml:space="preserve">Acceptance requires precision of at least 0.9 on at least 20 overlapping holdout detections. Table </w:t>
      </w:r>
      <w:hyperlink w:anchor="tab:tier0">
        <w:r>
          <w:rPr>
            <w:rStyle w:val="Hyperlink"/>
          </w:rPr>
          <w:t xml:space="preserve">[tab:tier0]</w:t>
        </w:r>
      </w:hyperlink>
      <w:r>
        <w:t xml:space="preserve"> </w:t>
      </w:r>
      <w:r>
        <w:t xml:space="preserve">in Appendix </w:t>
      </w:r>
      <w:hyperlink w:anchor="app:resolution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reports the results per extract. Precision on the October extract is</w:t>
      </w:r>
      <w:r>
        <w:t xml:space="preserve"> </w:t>
      </w:r>
      <w:r>
        <w:t xml:space="preserve">1.00 on 423 overlaps, on SVB 31 overlaps, and on the daily extract</w:t>
      </w:r>
      <w:r>
        <w:t xml:space="preserve"> </w:t>
      </w:r>
      <w:r>
        <w:t xml:space="preserve">64 overlaps. FTX has only 13 overlaps, below the rule, so the FTX evidence is limited.</w:t>
      </w:r>
      <w:r>
        <w:t xml:space="preserve"> </w:t>
      </w:r>
      <w:r>
        <w:t xml:space="preserve">Recall by volume is at most 4.3%. The holdout is Binance and Bitget deposits, so precision is not validated for</w:t>
      </w:r>
      <w:r>
        <w:t xml:space="preserve"> </w:t>
      </w:r>
      <w:r>
        <w:t xml:space="preserve">Coinbase, Bybit or Kraken. The swept volume in the October extract is US$74.5bn.</w:t>
      </w:r>
    </w:p>
    <w:p>
      <w:pPr>
        <w:pStyle w:val="BodyText"/>
      </w:pPr>
      <w:r>
        <w:t xml:space="preserve">Tier-3 label matching of both endpoints collapses sub-wallets to their roots, and the mint/burn sentinel is dropped.</w:t>
      </w:r>
      <w:r>
        <w:t xml:space="preserve"> </w:t>
      </w:r>
      <w:r>
        <w:t xml:space="preserve">Tiers 1 and 2 (a classifier and an embedding) are exploratory and are assessed in Appendix </w:t>
      </w:r>
      <w:hyperlink w:anchor="app:resolution">
        <w:r>
          <w:rPr>
            <w:rStyle w:val="Hyperlink"/>
          </w:rPr>
          <w:t xml:space="preserve">9</w:t>
        </w:r>
      </w:hyperlink>
      <w:r>
        <w:t xml:space="preserve">.</w:t>
      </w:r>
    </w:p>
    <w:bookmarkEnd w:id="39"/>
    <w:bookmarkStart w:id="46" w:name="subsec:stress"/>
    <w:p>
      <w:pPr>
        <w:pStyle w:val="Heading2"/>
      </w:pPr>
      <w:r>
        <w:t xml:space="preserve">Stress states</w:t>
      </w:r>
    </w:p>
    <w:p>
      <w:pPr>
        <w:pStyle w:val="FirstParagraph"/>
      </w:pPr>
      <w:r>
        <w:t xml:space="preserve">Stress is the equal-weight mean of the z-scored components of each entity (48-hour rolling window, minimum 6</w:t>
      </w:r>
      <w:r>
        <w:t xml:space="preserve"> </w:t>
      </w:r>
      <w:r>
        <w:t xml:space="preserve">periods). The flow component is</w:t>
      </w:r>
      <w:r>
        <w:t xml:space="preserve"> </w:t>
      </w:r>
      <m:oMath>
        <m:r>
          <m:t>0.6</m:t>
        </m:r>
        <m:r>
          <m:t> </m:t>
        </m:r>
        <m:r>
          <m:t>z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net-flow ratio</m:t>
            </m:r>
          </m:e>
        </m:d>
        <m:r>
          <m:rPr>
            <m:sty m:val="p"/>
          </m:rPr>
          <m:t>+</m:t>
        </m:r>
        <m:r>
          <m:t>0.4</m:t>
        </m:r>
        <m:r>
          <m:t> </m:t>
        </m:r>
        <m:r>
          <m:t>z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total flow</m:t>
            </m:r>
          </m:e>
        </m:d>
      </m:oMath>
      <w:r>
        <w:t xml:space="preserve">. The components actually used are listed in</w:t>
      </w:r>
      <w:r>
        <w:t xml:space="preserve"> </w:t>
      </w:r>
      <w:r>
        <w:rPr>
          <w:rStyle w:val="VerbatimChar"/>
        </w:rPr>
        <w:t xml:space="preserve">final_results.json</w:t>
      </w:r>
      <w:r>
        <w:t xml:space="preserve">. CEX entities and retail use flow only. Aave adds an AAVE drawdown, Ethena adds</w:t>
      </w:r>
      <w:r>
        <w:t xml:space="preserve"> </w:t>
      </w:r>
      <w:r>
        <w:t xml:space="preserve">the USDe peg deviation, MakerSky adds the DAI peg deviation, and Lido uses the stETH/ETH discount and withdrawal-queue</w:t>
      </w:r>
      <w:r>
        <w:t xml:space="preserve"> </w:t>
      </w:r>
      <w:r>
        <w:t xml:space="preserve">redemption. Components are kept only if non-degenerate on the fit window, and all 15 entities pass.</w:t>
      </w:r>
      <w:r>
        <w:t xml:space="preserve"> </w:t>
      </w:r>
      <w:r>
        <w:t xml:space="preserve">The four DeFi nodes carry price-based components, so they are not purely on-chain measurements.</w:t>
      </w:r>
    </w:p>
    <w:p>
      <w:pPr>
        <w:pStyle w:val="BodyText"/>
      </w:pPr>
      <w:r>
        <w:t xml:space="preserve">Lido has no fit-window gross flow (US$0.00bn). The only edge involving Lido in the hourly graph is the</w:t>
      </w:r>
      <w:r>
        <w:t xml:space="preserve"> </w:t>
      </w:r>
      <w:r>
        <w:t xml:space="preserve">Lido</w:t>
      </w:r>
      <m:oMath>
        <m:r>
          <m:rPr>
            <m:sty m:val="p"/>
          </m:rPr>
          <m:t>→</m:t>
        </m:r>
      </m:oMath>
      <w:r>
        <w:t xml:space="preserve">Aave edge. Ethena’s fit-window gross flow is US$0.10bn. In FTX and SVB, Ethena does not exist</w:t>
      </w:r>
      <w:r>
        <w:t xml:space="preserve"> </w:t>
      </w:r>
      <w:r>
        <w:t xml:space="preserve">and Lido uses the discount component only. Figure </w:t>
      </w:r>
      <w:hyperlink w:anchor="fig:usde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 USDe volume around the event and the</w:t>
      </w:r>
      <w:r>
        <w:t xml:space="preserve"> </w:t>
      </w:r>
      <w:r>
        <w:t xml:space="preserve">hourly stress states, with the event window shaded.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3960"/>
        <w:gridCol w:w="396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6095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fig_usde_spike.pdf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609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94117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fig_stress.pdf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411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Left: on-chain USDe transfer volume around the October 2025 cascade (BigQuery</w:t>
      </w:r>
      <w:r>
        <w:t xml:space="preserve"> </w:t>
      </w:r>
      <w:r>
        <w:rPr>
          <w:rStyle w:val="VerbatimChar"/>
        </w:rPr>
        <w:t xml:space="preserve">crypto_ethereum</w:t>
      </w:r>
      <w:r>
        <w:t xml:space="preserve"> </w:t>
      </w:r>
      <w:r>
        <w:t xml:space="preserve">token transfers). Right: hourly stress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of four entities, including</w:t>
      </w:r>
      <w:r>
        <w:t xml:space="preserve"> </w:t>
      </w:r>
      <w:r>
        <w:t xml:space="preserve">the peg component of the Ethena curve (shaded: the 10–11 October event window).</w:t>
      </w:r>
    </w:p>
    <w:bookmarkEnd w:id="46"/>
    <w:bookmarkStart w:id="47" w:name="subsec:coverage"/>
    <w:p>
      <w:pPr>
        <w:pStyle w:val="Heading2"/>
      </w:pPr>
      <w:r>
        <w:t xml:space="preserve">Coverage and a data cross-check</w:t>
      </w:r>
    </w:p>
    <w:p>
      <w:pPr>
        <w:pStyle w:val="FirstParagraph"/>
      </w:pPr>
      <w:r>
        <w:t xml:space="preserve">Named-to-named (distinct entities) flow is 3.0% of entity-touching panel-token flow in October. Across</w:t>
      </w:r>
      <w:r>
        <w:t xml:space="preserve"> </w:t>
      </w:r>
      <w:r>
        <w:t xml:space="preserve">the six extracts the range is 0.6–3.0%. In the model’s own panel, named-to-named flow is</w:t>
      </w:r>
      <w:r>
        <w:t xml:space="preserve"> </w:t>
      </w:r>
      <w:r>
        <w:t xml:space="preserve">2.8% of US$570bn. The graph is therefore dominated by named-entity–retail edges.</w:t>
      </w:r>
    </w:p>
    <w:p>
      <w:pPr>
        <w:pStyle w:val="BodyText"/>
      </w:pPr>
      <w:r>
        <w:t xml:space="preserve">As a cross-check, BigQuery daily USDe volume is compared with an earlier independent extraction. The two match within the</w:t>
      </w:r>
      <w:r>
        <w:t xml:space="preserve"> </w:t>
      </w:r>
      <w:r>
        <w:t xml:space="preserve">2% tolerance on all six days, and the largest relative difference is 0.06%. The volume peaks</w:t>
      </w:r>
      <w:r>
        <w:t xml:space="preserve"> </w:t>
      </w:r>
      <w:r>
        <w:t xml:space="preserve">at US$3.09bn on 10 October and US$8.83bn on 11 October.</w:t>
      </w:r>
    </w:p>
    <w:bookmarkEnd w:id="47"/>
    <w:bookmarkEnd w:id="48"/>
    <w:bookmarkStart w:id="67" w:name="sec:results"/>
    <w:p>
      <w:pPr>
        <w:pStyle w:val="Heading1"/>
      </w:pPr>
      <w:r>
        <w:t xml:space="preserve">Empirical Evaluation</w:t>
      </w:r>
    </w:p>
    <w:p>
      <w:pPr>
        <w:pStyle w:val="FirstParagraph"/>
      </w:pPr>
      <w:r>
        <w:t xml:space="preserve">Unless noted, results are for the hourly October 2025 run (600 fitting hours, 48 event</w:t>
      </w:r>
      <w:r>
        <w:t xml:space="preserve"> </w:t>
      </w:r>
      <w:r>
        <w:t xml:space="preserve">hours, 15 entities, 90 directed edges). H1 and H2 are diagnostics,</w:t>
      </w:r>
      <w:r>
        <w:t xml:space="preserve"> </w:t>
      </w:r>
      <w:r>
        <w:t xml:space="preserve">and the numbers come from the</w:t>
      </w:r>
      <w:r>
        <w:t xml:space="preserve"> </w:t>
      </w:r>
      <w:r>
        <w:rPr>
          <w:rStyle w:val="VerbatimChar"/>
        </w:rPr>
        <w:t xml:space="preserve">results/*.json</w:t>
      </w:r>
      <w:r>
        <w:t xml:space="preserve"> </w:t>
      </w:r>
      <w:r>
        <w:t xml:space="preserve">files named in the repository’s numbers map. The daily specification</w:t>
      </w:r>
      <w:r>
        <w:t xml:space="preserve"> </w:t>
      </w:r>
      <w:r>
        <w:t xml:space="preserve">is used only for the analytic checks in Appendix </w:t>
      </w:r>
      <w:hyperlink w:anchor="app:bounds">
        <w:r>
          <w:rPr>
            <w:rStyle w:val="Hyperlink"/>
          </w:rPr>
          <w:t xml:space="preserve">11</w:t>
        </w:r>
      </w:hyperlink>
      <w:r>
        <w:t xml:space="preserve">.</w:t>
      </w:r>
    </w:p>
    <w:bookmarkStart w:id="49" w:name="subsec:explained"/>
    <w:p>
      <w:pPr>
        <w:pStyle w:val="Heading2"/>
      </w:pPr>
      <w:r>
        <w:t xml:space="preserve">How much stress does the network explain?</w:t>
      </w:r>
    </w:p>
    <w:p>
      <w:pPr>
        <w:pStyle w:val="FirstParagraph"/>
      </w:pPr>
      <w:r>
        <w:t xml:space="preserve">Table </w:t>
      </w:r>
      <w:hyperlink w:anchor="tab:explained">
        <w:r>
          <w:rPr>
            <w:rStyle w:val="Hyperlink"/>
          </w:rPr>
          <w:t xml:space="preserve">[tab:explained]</w:t>
        </w:r>
      </w:hyperlink>
      <w:r>
        <w:t xml:space="preserve"> </w:t>
      </w:r>
      <w:r>
        <w:t xml:space="preserve">reports in-sample and out-of-sample explained variance for each entity. In-sample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ranges from 0.000 (Lido) to 0.273 (retail). Optimism-corrected, only retail</w:t>
      </w:r>
      <w:r>
        <w:t xml:space="preserve"> </w:t>
      </w:r>
      <w:r>
        <w:t xml:space="preserve">stays clearly above zero, at 0.186 [0.077, 0.265]. The Coinbase and Kraken intervals include</w:t>
      </w:r>
      <w:r>
        <w:t xml:space="preserve"> </w:t>
      </w:r>
      <w:r>
        <w:t xml:space="preserve">zero.</w:t>
      </w:r>
    </w:p>
    <w:p>
      <w:pPr>
        <w:pStyle w:val="BodyText"/>
      </w:pPr>
      <w:r>
        <w:t xml:space="preserve">Out of sample, the network equation has pooled</w:t>
      </w:r>
      <w:r>
        <w:t xml:space="preserve"> </w:t>
      </w:r>
      <m:oMath>
        <m:sSubSup>
          <m:e>
            <m:r>
              <m:t>R</m:t>
            </m:r>
          </m:e>
          <m:sub>
            <m:r>
              <m:t>O</m:t>
            </m:r>
            <m:r>
              <m:t>S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0.005</m:t>
        </m:r>
      </m:oMath>
      <w:r>
        <w:t xml:space="preserve"> </w:t>
      </w:r>
      <w:r>
        <w:t xml:space="preserve">[</w:t>
      </w:r>
      <m:oMath>
        <m:r>
          <m:rPr>
            <m:sty m:val="p"/>
          </m:rPr>
          <m:t>−</m:t>
        </m:r>
      </m:oMath>
      <w:r>
        <w:t xml:space="preserve">0.017, 0.019], against</w:t>
      </w:r>
      <w:r>
        <w:t xml:space="preserve"> </w:t>
      </w:r>
      <w:r>
        <w:t xml:space="preserve">0.161 [0.056, 0.222] for the own lag. Adding the network to the own lag changes squared error by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0.3% [</w:t>
      </w:r>
      <m:oMath>
        <m:r>
          <m:rPr>
            <m:sty m:val="p"/>
          </m:rPr>
          <m:t>−</m:t>
        </m:r>
      </m:oMath>
      <w:r>
        <w:t xml:space="preserve">2.0%, 1.4%], and the network alone changes squared error by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18.6% [</w:t>
      </w:r>
      <m:oMath>
        <m:r>
          <m:rPr>
            <m:sty m:val="p"/>
          </m:rPr>
          <m:t>−</m:t>
        </m:r>
      </m:oMath>
      <w:r>
        <w:t xml:space="preserve">27.1%,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6.2%], so it is worse than the own lag. The large entity-level gains are for retail</w:t>
      </w:r>
      <w:r>
        <w:t xml:space="preserve"> </w:t>
      </w:r>
      <w:r>
        <w:t xml:space="preserve">(29.4%) and Coinbase (11.6%). The other entities lie between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16.3% and 1.6%. Aave has the largest benchmark squared error, about 17.6% of</w:t>
      </w:r>
      <w:r>
        <w:t xml:space="preserve"> </w:t>
      </w:r>
      <w:r>
        <w:t xml:space="preserve">the total, so it carries the most weight in the pooled score. Its own-lag</w:t>
      </w:r>
      <w:r>
        <w:t xml:space="preserve"> </w:t>
      </w:r>
      <m:oMath>
        <m:sSubSup>
          <m:e>
            <m:r>
              <m:t>R</m:t>
            </m:r>
          </m:e>
          <m:sub>
            <m:r>
              <m:t>O</m:t>
            </m:r>
            <m:r>
              <m:t>S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0.759. Pooled weights</w:t>
      </w:r>
      <w:r>
        <w:t xml:space="preserve"> </w:t>
      </w:r>
      <w:r>
        <w:t xml:space="preserve">follow benchmark squared error, so the equal-weight means are also reported: 0.081 for the own lag and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0.003 for the network. The evidence rests on one window, two 24-hour blocks and one network specification.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Entity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Optimism-corrected [95% CI]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R</m:t>
                  </m:r>
                </m:e>
                <m:sub>
                  <m:r>
                    <m:t>O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R</m:t>
                  </m:r>
                </m:e>
                <m:sub>
                  <m:r>
                    <m:t>O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network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AR+net vs AR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0.186 [0.077, 0.265]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Kraken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0.157, 0.158]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0.056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Coinbase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0.068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0.032, 0.131]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0.008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0.089, 0.043]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Bitfinex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0.006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0.116, 0.046]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0.203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16.3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Bybit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0.014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0.109, 0.037]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0.017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OKX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0.049, 0.038]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0.004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0.108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11.0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Crypto.com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0.022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0.078, 0.017]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Ceffu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0.043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0.237, 0.024]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0.031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0.098, 0.008]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12.1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0.041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0.150, 0.007]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0.044, 0.016]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MakerSky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0.034, 0.015]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0.027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0.015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0.047,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0.001]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0.002 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0.011, 0.000]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Pooled (out of sample)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0.3</w:t>
            </w:r>
          </w:p>
        </w:tc>
      </w:tr>
    </w:tbl>
    <w:p>
      <w:pPr>
        <w:pStyle w:val="BodyText"/>
      </w:pPr>
    </w:p>
    <w:bookmarkEnd w:id="49"/>
    <w:bookmarkStart w:id="53" w:name="subsec:attribution"/>
    <w:p>
      <w:pPr>
        <w:pStyle w:val="Heading2"/>
      </w:pPr>
      <w:r>
        <w:t xml:space="preserve">Counterfactual attribution and the abduction lesson</w:t>
      </w:r>
    </w:p>
    <w:p>
      <w:pPr>
        <w:pStyle w:val="FirstParagraph"/>
      </w:pPr>
      <w:r>
        <w:t xml:space="preserve">The largest share is 15.2% [13.2%, 19.5%] (MakerSky</w:t>
      </w:r>
      <m:oMath>
        <m:r>
          <m:rPr>
            <m:sty m:val="p"/>
          </m:rPr>
          <m:t>→</m:t>
        </m:r>
      </m:oMath>
      <w:r>
        <w:t xml:space="preserve">retail). Of the ten largest channels</w:t>
      </w:r>
      <w:r>
        <w:t xml:space="preserve"> </w:t>
      </w:r>
      <w:r>
        <w:t xml:space="preserve">in the point estimate, four end at the retail aggregate, two start there, and four connect two named entities.</w:t>
      </w:r>
      <w:r>
        <w:t xml:space="preserve"> </w:t>
      </w:r>
      <w:r>
        <w:t xml:space="preserve">Table </w:t>
      </w:r>
      <w:hyperlink w:anchor="tab:channels">
        <w:r>
          <w:rPr>
            <w:rStyle w:val="Hyperlink"/>
          </w:rPr>
          <w:t xml:space="preserve">[tab:channels]</w:t>
        </w:r>
      </w:hyperlink>
      <w:r>
        <w:t xml:space="preserve"> </w:t>
      </w:r>
      <w:r>
        <w:t xml:space="preserve">reports the leading channels and Figure </w:t>
      </w:r>
      <w:hyperlink w:anchor="fig:attribution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draws the top eight.</w:t>
      </w:r>
    </w:p>
    <w:p>
      <w:pPr>
        <w:pStyle w:val="BodyText"/>
      </w:pPr>
      <w:r>
        <w:t xml:space="preserve">Among named-to-named channels, Binance</w:t>
      </w:r>
      <m:oMath>
        <m:r>
          <m:rPr>
            <m:sty m:val="p"/>
          </m:rPr>
          <m:t>→</m:t>
        </m:r>
      </m:oMath>
      <w:r>
        <w:t xml:space="preserve">Bybit has a share of 6.3% [2.7%, 8.6%] with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attribution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rPr>
            <m:sty m:val="p"/>
          </m:rPr>
          <m:t>=</m:t>
        </m:r>
        <m:r>
          <m:t>1.00</m:t>
        </m:r>
      </m:oMath>
      <w:r>
        <w:t xml:space="preserve">. Crypto.com</w:t>
      </w:r>
      <m:oMath>
        <m:r>
          <m:rPr>
            <m:sty m:val="p"/>
          </m:rPr>
          <m:t>→</m:t>
        </m:r>
      </m:oMath>
      <w:r>
        <w:t xml:space="preserve">Binance (7.2% [1.3%, 12.5%]) and</w:t>
      </w:r>
      <w:r>
        <w:t xml:space="preserve"> </w:t>
      </w:r>
      <w:r>
        <w:t xml:space="preserve">Binance</w:t>
      </w:r>
      <m:oMath>
        <m:r>
          <m:rPr>
            <m:sty m:val="p"/>
          </m:rPr>
          <m:t>→</m:t>
        </m:r>
      </m:oMath>
      <w:r>
        <w:t xml:space="preserve">OKX (6.7% [0.4%, 11.2%]) have intervals above zero. The Kraken</w:t>
      </w:r>
      <m:oMath>
        <m:r>
          <m:rPr>
            <m:sty m:val="p"/>
          </m:rPr>
          <m:t>→</m:t>
        </m:r>
      </m:oMath>
      <w:r>
        <w:t xml:space="preserve">Bitfinex interval includes</w:t>
      </w:r>
      <w:r>
        <w:t xml:space="preserve"> </w:t>
      </w:r>
      <w:r>
        <w:t xml:space="preserve">zero (6.8% [</w:t>
      </w:r>
      <m:oMath>
        <m:r>
          <m:rPr>
            <m:sty m:val="p"/>
          </m:rPr>
          <m:t>−</m:t>
        </m:r>
      </m:oMath>
      <w:r>
        <w:t xml:space="preserve">9.2%, 12.4%]). The documented Ethena</w:t>
      </w:r>
      <m:oMath>
        <m:r>
          <m:rPr>
            <m:sty m:val="p"/>
          </m:rPr>
          <m:t>→</m:t>
        </m:r>
      </m:oMath>
      <w:r>
        <w:t xml:space="preserve">Aave</w:t>
      </w:r>
      <m:oMath>
        <m:r>
          <m:rPr>
            <m:sty m:val="p"/>
          </m:rPr>
          <m:t>→</m:t>
        </m:r>
      </m:oMath>
      <w:r>
        <w:t xml:space="preserve">Binance mechanism is not detected: Ethena</w:t>
      </w:r>
      <m:oMath>
        <m:r>
          <m:rPr>
            <m:sty m:val="p"/>
          </m:rPr>
          <m:t>→</m:t>
        </m:r>
      </m:oMath>
      <w:r>
        <w:t xml:space="preserve">Aave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1.1% [</w:t>
      </w:r>
      <m:oMath>
        <m:r>
          <m:rPr>
            <m:sty m:val="p"/>
          </m:rPr>
          <m:t>−</m:t>
        </m:r>
      </m:oMath>
      <w:r>
        <w:t xml:space="preserve">4.1%, 2.3%] and Ethena</w:t>
      </w:r>
      <m:oMath>
        <m:r>
          <m:rPr>
            <m:sty m:val="p"/>
          </m:rPr>
          <m:t>→</m:t>
        </m:r>
      </m:oMath>
      <w:r>
        <w:t xml:space="preserve">Binance is 0.4% [</w:t>
      </w:r>
      <m:oMath>
        <m:r>
          <m:rPr>
            <m:sty m:val="p"/>
          </m:rPr>
          <m:t>−</m:t>
        </m:r>
      </m:oMath>
      <w:r>
        <w:t xml:space="preserve">2.7%, 3.2%].</w:t>
      </w:r>
    </w:p>
    <w:p>
      <w:pPr>
        <w:pStyle w:val="BodyText"/>
      </w:pPr>
      <w:r>
        <w:t xml:space="preserve">Table </w:t>
      </w:r>
      <w:hyperlink w:anchor="tab:abduction">
        <w:r>
          <w:rPr>
            <w:rStyle w:val="Hyperlink"/>
          </w:rPr>
          <w:t xml:space="preserve">[tab:abduction]</w:t>
        </w:r>
      </w:hyperlink>
      <w:r>
        <w:t xml:space="preserve"> </w:t>
      </w:r>
      <w:r>
        <w:t xml:space="preserve">is the abduction lesson. Here v1 and v2 label earlier data builds (v2 is an earlier</w:t>
      </w:r>
      <w:r>
        <w:t xml:space="preserve"> </w:t>
      </w:r>
      <w:r>
        <w:t xml:space="preserve">BigQuery build) and v3 is the build used throughout this paper. On v1, zero-shock abduction gives a</w:t>
      </w:r>
      <w:r>
        <w:t xml:space="preserve"> </w:t>
      </w:r>
      <w:r>
        <w:t xml:space="preserve">Binance</w:t>
      </w:r>
      <m:oMath>
        <m:r>
          <m:rPr>
            <m:sty m:val="p"/>
          </m:rPr>
          <m:t>→</m:t>
        </m:r>
      </m:oMath>
      <w:r>
        <w:t xml:space="preserve">Bybit share of 98.1% (L</w:t>
      </w:r>
      <m:oMath>
        <m:sSub>
          <m:e>
            <m:r>
              <m:t>​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t xml:space="preserve"> </w:t>
      </w:r>
      <w:r>
        <w:t xml:space="preserve">= 3.49). On the current data, the same</w:t>
      </w:r>
      <w:r>
        <w:t xml:space="preserve"> </w:t>
      </w:r>
      <w:r>
        <w:t xml:space="preserve">zero-shock abduction gives 65.3% (L</w:t>
      </w:r>
      <m:oMath>
        <m:sSub>
          <m:e>
            <m:r>
              <m:t>​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t xml:space="preserve"> </w:t>
      </w:r>
      <w:r>
        <w:t xml:space="preserve">= 3.84), while full abduction gives</w:t>
      </w:r>
      <w:r>
        <w:t xml:space="preserve"> </w:t>
      </w:r>
      <w:r>
        <w:t xml:space="preserve">6.3% (L</w:t>
      </w:r>
      <m:oMath>
        <m:sSub>
          <m:e>
            <m:r>
              <m:t>​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t xml:space="preserve"> </w:t>
      </w:r>
      <w:r>
        <w:t xml:space="preserve">= 21.66). The zero-shock share is inflated because its denominator is a</w:t>
      </w:r>
      <w:r>
        <w:t xml:space="preserve"> </w:t>
      </w:r>
      <w:r>
        <w:t xml:space="preserve">model-implied loss that omits the idiosyncratic shocks: Corollary </w:t>
      </w:r>
      <w:hyperlink w:anchor="cor:shar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and the Remark in</w:t>
      </w:r>
      <w:r>
        <w:t xml:space="preserve"> </w:t>
      </w:r>
      <w:r>
        <w:t xml:space="preserve">Section </w:t>
      </w:r>
      <w:hyperlink w:anchor="subsec:risk">
        <w:r>
          <w:rPr>
            <w:rStyle w:val="Hyperlink"/>
          </w:rPr>
          <w:t xml:space="preserve">3.2</w:t>
        </w:r>
      </w:hyperlink>
      <w:r>
        <w:t xml:space="preserve"> </w:t>
      </w:r>
      <w:r>
        <w:t xml:space="preserve">explain the mechanism. The zero-shock maximum over pairs is degenerate, with a tiny</w:t>
      </w:r>
      <w:r>
        <w:t xml:space="preserve"> </w:t>
      </w:r>
      <w:r>
        <w:t xml:space="preserve">denominator, and is not quoted. The v1 and v3 rows differ in data as well as in the</w:t>
      </w:r>
      <w:r>
        <w:t xml:space="preserve"> </w:t>
      </w:r>
      <w:r>
        <w:t xml:space="preserve">abduction mode, so only the same-data comparison isolates the abduction effect. Under full abduction the share is similar on the</w:t>
      </w:r>
      <w:r>
        <w:t xml:space="preserve"> </w:t>
      </w:r>
      <w:r>
        <w:t xml:space="preserve">v2 and v3 builds.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Abduction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rPr>
                <w:bCs/>
                <w:b/>
              </w:rPr>
              <w:t xml:space="preserve">(Bybit)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Attribution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Share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(earlier extract)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zero-shock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(current build)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zero-shock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(current build)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(earlier BigQuery build)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</w:tr>
    </w:tbl>
    <w:p>
      <w:pPr>
        <w:pStyle w:val="BodyText"/>
      </w:pP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Channel</w:t>
            </w:r>
            <w:r>
              <w:rPr>
                <w:bCs/>
                <w:b/>
              </w:rPr>
              <w:t xml:space="preserve"> </w:t>
            </w:r>
            <m:oMath>
              <m:r>
                <m:t>i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j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Attribution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Share (%)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95% CI of share (%)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attribution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MakerSky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t xml:space="preserve">retail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[12.2, 18.8]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Kraken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t xml:space="preserve">retail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[6.3, 19.0]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MakerSky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Coinbase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named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[7.7, 15.2]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Coinbase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t xml:space="preserve">retail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[5.7, 11.8]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Coinbase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  <m:oMath>
              <m:r>
                <m:rPr>
                  <m:sty m:val="p"/>
                </m:rPr>
                <m:t>→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[5.2, 15.1]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Bitfinex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retail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t xml:space="preserve">retail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[2.7, 15.7]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OKX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  <m:oMath>
              <m:r>
                <m:rPr>
                  <m:sty m:val="p"/>
                </m:rPr>
                <m:t>→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[4.0, 11.2]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Crypto.com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Binance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named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[1.3, 12.5]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Kraken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Bitfinex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named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9.2, 12.4]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Binance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OKX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named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[0.4, 11.2]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Binance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Bybit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named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[2.7, 8.6]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Ethena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named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0.41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4.1, 2.3]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Ethena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Binance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named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2.7, 3.2]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named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0.1, 0.0]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</w:tr>
    </w:tbl>
    <w:p>
      <w:pPr>
        <w:pStyle w:val="BodyText"/>
      </w:pPr>
    </w:p>
    <w:p>
      <w:pPr>
        <w:pStyle w:val="CaptionedFigure"/>
      </w:pPr>
      <w:r>
        <w:drawing>
          <wp:inline>
            <wp:extent cx="4927600" cy="2921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_attribution.pd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7600" cy="292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eight counterfactual channels by point share, with 95% bootstrap intervals (300 replicates). The intervals are not</w:t>
      </w:r>
      <w:r>
        <w:t xml:space="preserve"> </w:t>
      </w:r>
      <w:r>
        <w:t xml:space="preserve">selection-adjusted.</w:t>
      </w:r>
    </w:p>
    <w:p>
      <w:pPr>
        <w:pStyle w:val="BodyText"/>
      </w:pPr>
      <w:r>
        <w:t xml:space="preserve">For Bybit we also compute a Shapley decomposition of the hinge game over Binance, Coinbase and Bitfinex, by exhaustive</w:t>
      </w:r>
      <w:r>
        <w:t xml:space="preserve"> </w:t>
      </w:r>
      <w:r>
        <w:t xml:space="preserve">enumeration of the orderings. In this game the candidate set is held at its observed stress and every other entity at its</w:t>
      </w:r>
      <w:r>
        <w:t xml:space="preserve"> </w:t>
      </w:r>
      <w:r>
        <w:t xml:space="preserve">pre-crisis level, so only direct channels into Bybit operate. The values are Binance 1.49 [0.53, 2.00],</w:t>
      </w:r>
      <w:r>
        <w:t xml:space="preserve"> </w:t>
      </w:r>
      <w:r>
        <w:t xml:space="preserve">Coinbase 0.12 [</w:t>
      </w:r>
      <m:oMath>
        <m:r>
          <m:rPr>
            <m:sty m:val="p"/>
          </m:rPr>
          <m:t>−</m:t>
        </m:r>
      </m:oMath>
      <w:r>
        <w:t xml:space="preserve">0.09, 0.24] and Bitfinex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0.37 [</w:t>
      </w:r>
      <m:oMath>
        <m:r>
          <m:rPr>
            <m:sty m:val="p"/>
          </m:rPr>
          <m:t>−</m:t>
        </m:r>
      </m:oMath>
      <w:r>
        <w:t xml:space="preserve">0.97, 0.18]. They sum to the</w:t>
      </w:r>
      <w:r>
        <w:t xml:space="preserve"> </w:t>
      </w:r>
      <w:r>
        <w:t xml:space="preserve">total effect to machine precision (additive residual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). Only Binance’s credit has an interval above zero.</w:t>
      </w:r>
      <w:r>
        <w:t xml:space="preserve"> </w:t>
      </w:r>
      <w:r>
        <w:t xml:space="preserve">This game differs from that of Proposition </w:t>
      </w:r>
      <w:hyperlink w:anchor="prop:C">
        <w:r>
          <w:rPr>
            <w:rStyle w:val="Hyperlink"/>
          </w:rPr>
          <w:t xml:space="preserve">4</w:t>
        </w:r>
      </w:hyperlink>
      <w:r>
        <w:t xml:space="preserve">, which lets unselected entities propagate. The negative Bitfinex</w:t>
      </w:r>
      <w:r>
        <w:t xml:space="preserve"> </w:t>
      </w:r>
      <w:r>
        <w:t xml:space="preserve">value is therefore not the intermediary credit of Proposition </w:t>
      </w:r>
      <w:hyperlink w:anchor="prop:C">
        <w:r>
          <w:rPr>
            <w:rStyle w:val="Hyperlink"/>
          </w:rPr>
          <w:t xml:space="preserve">4</w:t>
        </w:r>
      </w:hyperlink>
      <w:r>
        <w:t xml:space="preserve">. Its interval includes zero, so we do not trace</w:t>
      </w:r>
      <w:r>
        <w:t xml:space="preserve"> </w:t>
      </w:r>
      <w:r>
        <w:t xml:space="preserve">its source further.</w:t>
      </w:r>
    </w:p>
    <w:bookmarkEnd w:id="53"/>
    <w:bookmarkStart w:id="60" w:name="subsec:ranking"/>
    <w:p>
      <w:pPr>
        <w:pStyle w:val="Heading2"/>
      </w:pPr>
      <w:r>
        <w:t xml:space="preserve">Systemic ranking with uncertainty</w:t>
      </w:r>
    </w:p>
    <w:p>
      <w:pPr>
        <w:pStyle w:val="FirstParagraph"/>
      </w:pPr>
      <w:r>
        <w:t xml:space="preserve">Table </w:t>
      </w:r>
      <w:hyperlink w:anchor="tab:rank">
        <w:r>
          <w:rPr>
            <w:rStyle w:val="Hyperlink"/>
          </w:rPr>
          <w:t xml:space="preserve">[tab:rank]</w:t>
        </w:r>
      </w:hyperlink>
      <w:r>
        <w:t xml:space="preserve"> </w:t>
      </w:r>
      <w:r>
        <w:t xml:space="preserve">reports the ranking and Figure </w:t>
      </w:r>
      <w:hyperlink w:anchor="fig:rank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rank intervals and pairwise probabilities.</w:t>
      </w:r>
      <w:r>
        <w:t xml:space="preserve"> </w:t>
      </w:r>
      <w:r>
        <w:t xml:space="preserve">Retail and MakerSky are the top pair: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top-3</m:t>
            </m:r>
          </m:e>
        </m:d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for retail and</w:t>
      </w:r>
      <w:r>
        <w:t xml:space="preserve"> </w:t>
      </w:r>
      <m:oMath>
        <m:r>
          <m:t>0.88</m:t>
        </m:r>
      </m:oMath>
      <w:r>
        <w:t xml:space="preserve"> </w:t>
      </w:r>
      <w:r>
        <w:t xml:space="preserve">for MakerSky. Their</w:t>
      </w:r>
      <w:r>
        <w:t xml:space="preserve"> </w:t>
      </w:r>
      <w:r>
        <w:t xml:space="preserve">order is unresolved, with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retail above MakerSky</m:t>
            </m:r>
          </m:e>
        </m:d>
        <m:r>
          <m:rPr>
            <m:sty m:val="p"/>
          </m:rPr>
          <m:t>=</m:t>
        </m:r>
        <m:r>
          <m:t>0.80</m:t>
        </m:r>
      </m:oMath>
      <w:r>
        <w:t xml:space="preserve">. Ranks three to six are unresolved in</w:t>
      </w:r>
      <w:r>
        <w:t xml:space="preserve"> </w:t>
      </w:r>
      <w:r>
        <w:t xml:space="preserve">pairwise order, with pairwise probabilities between 0.34 and 0.66. Binance is ranked 7th, with rank interval [2, 9]. The five</w:t>
      </w:r>
      <w:r>
        <w:t xml:space="preserve"> </w:t>
      </w:r>
      <w:r>
        <w:t xml:space="preserve">lowest-ranked entities (ranks 11–15) all have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top-5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The Spearman correlation between replicate and</w:t>
      </w:r>
      <w:r>
        <w:t xml:space="preserve"> </w:t>
      </w:r>
      <w:r>
        <w:t xml:space="preserve">point rankings is 0.903 [0.793, 0.968].</w:t>
      </w:r>
    </w:p>
    <w:p>
      <w:pPr>
        <w:pStyle w:val="BodyText"/>
      </w:pPr>
      <w:r>
        <w:t xml:space="preserve">The retail aggregate matters for the ranking. Without retail, the ranking is led by Binance (17.67), Crypto.com</w:t>
      </w:r>
      <w:r>
        <w:t xml:space="preserve"> </w:t>
      </w:r>
      <w:r>
        <w:t xml:space="preserve">(14.81) and Kraken (14.33), and MakerSky drops out of the top six</w:t>
      </w:r>
      <w:r>
        <w:t xml:space="preserve"> </w:t>
      </w:r>
      <w:r>
        <w:t xml:space="preserve">(point estimates from the archived no-retail run). Exported-risk levels scale with the number of entities, so only ranks</w:t>
      </w:r>
      <w:r>
        <w:t xml:space="preserve"> </w:t>
      </w:r>
      <w:r>
        <w:t xml:space="preserve">are comparable across runs.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Entity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Exported risk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MC s.e.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95% CI of risk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Rank CI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top-1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top-3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[27.18, 75.19]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 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MakerSky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[23.70, 58.08]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 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Bitfinex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[8.89, 43.70]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 10]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Coinbase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[10.55, 45.96]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 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Kraken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[12.81, 41.64]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 10]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Crypto.com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[8.07, 45.43]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 11]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[12.06, 47.23]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[2, 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[8.22, 34.16]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[3, 10]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[3.97, 26.28]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 12]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Bybit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[3.25, 23.69]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[5, 13]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[1.37, 13.83]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[9, 14]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[0.08, 13.26]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[9, 15]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[0.00, 9.26]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[10, 15]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[0.04, 7.57]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[11, 15]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Ceffu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[0.00, 1.58]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[13, 15]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3960"/>
        <w:gridCol w:w="396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770105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fig_rank_ci.pdf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7701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280478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fig_pairwise_top6.pdf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804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Left: rank intervals by entity. Right: pairwise order probabilities among the top six entities. Both use 300 refits.</w:t>
      </w:r>
    </w:p>
    <w:bookmarkEnd w:id="60"/>
    <w:bookmarkStart w:id="63" w:name="subsec:diagnostics"/>
    <w:p>
      <w:pPr>
        <w:pStyle w:val="Heading2"/>
      </w:pPr>
      <w:r>
        <w:t xml:space="preserve">Graph source and direction diagnostics</w:t>
      </w:r>
    </w:p>
    <w:p>
      <w:pPr>
        <w:pStyle w:val="FirstParagraph"/>
      </w:pPr>
      <w:r>
        <w:t xml:space="preserve">Table </w:t>
      </w:r>
      <w:hyperlink w:anchor="tab:diagnostics">
        <w:r>
          <w:rPr>
            <w:rStyle w:val="Hyperlink"/>
          </w:rPr>
          <w:t xml:space="preserve">[tab:diagnostics]</w:t>
        </w:r>
      </w:hyperlink>
      <w:r>
        <w:t xml:space="preserve"> </w:t>
      </w:r>
      <w:r>
        <w:t xml:space="preserve">reports all comparisons. The H1 and H2 labels follow Section </w:t>
      </w:r>
      <w:hyperlink w:anchor="subsec:design">
        <w:r>
          <w:rPr>
            <w:rStyle w:val="Hyperlink"/>
          </w:rPr>
          <w:t xml:space="preserve">3.5</w:t>
        </w:r>
      </w:hyperlink>
      <w:r>
        <w:t xml:space="preserve">.</w:t>
      </w:r>
    </w:p>
    <w:bookmarkStart w:id="61" w:name="h1-observed-versus-estimated-graph."/>
    <w:p>
      <w:pPr>
        <w:pStyle w:val="Heading4"/>
      </w:pPr>
      <w:r>
        <w:t xml:space="preserve">H1: observed versus estimated graph.</w:t>
      </w:r>
    </w:p>
    <w:p>
      <w:pPr>
        <w:pStyle w:val="FirstParagraph"/>
      </w:pPr>
      <w:r>
        <w:t xml:space="preserve">The weighted RMSE is 1.5545 for the observed graph, 1.5595 for the</w:t>
      </w:r>
      <w:r>
        <w:t xml:space="preserve"> </w:t>
      </w:r>
      <w:r>
        <w:t xml:space="preserve">Granger graph and 1.5599 for the partial-correlation graph (</w:t>
      </w:r>
      <m:oMath>
        <m:r>
          <m:t>n</m:t>
        </m:r>
        <m:r>
          <m:rPr>
            <m:sty m:val="p"/>
          </m:rPr>
          <m:t>=</m:t>
        </m:r>
        <m:r>
          <m:t>288</m:t>
        </m:r>
      </m:oMath>
      <w:r>
        <w:t xml:space="preserve">). The primary test uses unweighted squared error with</w:t>
      </w:r>
      <w:r>
        <w:t xml:space="preserve"> </w:t>
      </w:r>
      <w:r>
        <w:t xml:space="preserve">24-hour blocks. Its paired interval includes zero against both estimated graphs: the mean difference against Granger is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0.0053 [</w:t>
      </w:r>
      <m:oMath>
        <m:r>
          <m:rPr>
            <m:sty m:val="p"/>
          </m:rPr>
          <m:t>−</m:t>
        </m:r>
      </m:oMath>
      <w:r>
        <w:t xml:space="preserve">0.0129, 0.0021], and against partial correlation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0.0031 [</w:t>
      </w:r>
      <m:oMath>
        <m:r>
          <m:rPr>
            <m:sty m:val="p"/>
          </m:rPr>
          <m:t>−</m:t>
        </m:r>
      </m:oMath>
      <w:r>
        <w:t xml:space="preserve">0.0151, 0.0094]. The</w:t>
      </w:r>
      <w:r>
        <w:t xml:space="preserve"> </w:t>
      </w:r>
      <w:r>
        <w:t xml:space="preserve">same holds with 8-hour blocks. In the weighted sensitivity test the Granger comparison is inconclusive, and against</w:t>
      </w:r>
      <w:r>
        <w:t xml:space="preserve"> </w:t>
      </w:r>
      <w:r>
        <w:t xml:space="preserve">partial correlation the interval only just excludes zero. Strictly lagged flows give the same picture</w:t>
      </w:r>
      <w:r>
        <w:t xml:space="preserve"> </w:t>
      </w:r>
      <w:r>
        <w:t xml:space="preserve">(weighted RMSE 1.5496 against 1.5571). The non-flow target and the daily H1 are omitted, since they share the</w:t>
      </w:r>
      <w:r>
        <w:t xml:space="preserve"> </w:t>
      </w:r>
      <w:r>
        <w:t xml:space="preserve">target and have low power. We conclude that H1 is not supported. The observed graph is not clearly better than the</w:t>
      </w:r>
      <w:r>
        <w:t xml:space="preserve"> </w:t>
      </w:r>
      <w:r>
        <w:t xml:space="preserve">estimated graphs.</w:t>
      </w:r>
    </w:p>
    <w:bookmarkEnd w:id="61"/>
    <w:bookmarkStart w:id="62" w:name="h2-direction."/>
    <w:p>
      <w:pPr>
        <w:pStyle w:val="Heading4"/>
      </w:pPr>
      <w:r>
        <w:t xml:space="preserve">H2: direction.</w:t>
      </w:r>
    </w:p>
    <w:p>
      <w:pPr>
        <w:pStyle w:val="FirstParagraph"/>
      </w:pPr>
      <w:r>
        <w:t xml:space="preserve">On the October run the true, reversed and symmetric graphs have RMSE 1.7841, 1.7871 and</w:t>
      </w:r>
      <w:r>
        <w:t xml:space="preserve"> </w:t>
      </w:r>
      <w:r>
        <w:t xml:space="preserve">1.7862. The reversed-minus-true interval is [</w:t>
      </w:r>
      <m:oMath>
        <m:r>
          <m:rPr>
            <m:sty m:val="p"/>
          </m:rPr>
          <m:t>−</m:t>
        </m:r>
      </m:oMath>
      <w:r>
        <w:t xml:space="preserve">0.0006, 0.0093], which includes zero, as does the symmetric-minus-true</w:t>
      </w:r>
      <w:r>
        <w:t xml:space="preserve"> </w:t>
      </w:r>
      <w:r>
        <w:t xml:space="preserve">interval (Table </w:t>
      </w:r>
      <w:hyperlink w:anchor="tab:diagnostics">
        <w:r>
          <w:rPr>
            <w:rStyle w:val="Hyperlink"/>
          </w:rPr>
          <w:t xml:space="preserve">[tab:diagnostics]</w:t>
        </w:r>
      </w:hyperlink>
      <w:r>
        <w:t xml:space="preserve">). In the intraday A3 window, reversal is not distinguishable from the true graph</w:t>
      </w:r>
      <w:r>
        <w:t xml:space="preserve"> </w:t>
      </w:r>
      <w:r>
        <w:t xml:space="preserve">(interval [</w:t>
      </w:r>
      <m:oMath>
        <m:r>
          <m:rPr>
            <m:sty m:val="p"/>
          </m:rPr>
          <m:t>−</m:t>
        </m:r>
      </m:oMath>
      <w:r>
        <w:t xml:space="preserve">0.0035, 0.0166]). The symmetric graph is worse than the true graph, with an interval [0.0003, 0.0250]</w:t>
      </w:r>
      <w:r>
        <w:t xml:space="preserve"> </w:t>
      </w:r>
      <w:r>
        <w:t xml:space="preserve">whose lower bound is barely above zero. Table </w:t>
      </w:r>
      <w:hyperlink w:anchor="tab:diagnostics">
        <w:r>
          <w:rPr>
            <w:rStyle w:val="Hyperlink"/>
          </w:rPr>
          <w:t xml:space="preserve">[tab:diagnostics]</w:t>
        </w:r>
      </w:hyperlink>
      <w:r>
        <w:t xml:space="preserve"> </w:t>
      </w:r>
      <w:r>
        <w:t xml:space="preserve">contains ten uncorrected comparisons, and we do not read this one as evidence for</w:t>
      </w:r>
      <w:r>
        <w:t xml:space="preserve"> </w:t>
      </w:r>
      <w:r>
        <w:t xml:space="preserve">direction. For the two earlier episodes the direction results are inconclusive (Section </w:t>
      </w:r>
      <w:hyperlink w:anchor="subsec:multievent">
        <w:r>
          <w:rPr>
            <w:rStyle w:val="Hyperlink"/>
          </w:rPr>
          <w:t xml:space="preserve">5.6</w:t>
        </w:r>
      </w:hyperlink>
      <w:r>
        <w:t xml:space="preserve">).</w:t>
      </w:r>
      <w:r>
        <w:t xml:space="preserve"> </w:t>
      </w:r>
      <w:r>
        <w:t xml:space="preserve">Splitting the October run by edge type, reversing the 86 custodial edges gives an RMSE of 1.7905, and reversing the</w:t>
      </w:r>
      <w:r>
        <w:t xml:space="preserve"> </w:t>
      </w:r>
      <w:r>
        <w:t xml:space="preserve">4 composability edges gives 1.7806 (true graph 1.7841). No intervals are computed for this split, and the</w:t>
      </w:r>
      <w:r>
        <w:t xml:space="preserve"> </w:t>
      </w:r>
      <w:r>
        <w:t xml:space="preserve">composability result rests on four edges. Direction is not distinguishable from reversal at the entity-aggregate hourly level.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Window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RMSE base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RMSE alt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Mean diff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H1: observed vs Granger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 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1.5545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1.5595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0.0053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0.0129, 0.0021]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H1: observed vs partial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 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1.5545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1.5599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0.0151, 0.0094]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Reversed vs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 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1.7871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0.0006, 0.0093]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Symmetric vs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 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1.7862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0.0016, 0.0075]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Reversed vs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Intraday 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0.0035, 0.0166]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Symmetric vs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Intraday 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1.8097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[0.0003, 0.0250]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better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Reversed vs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FTX, Nov 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  <w:r>
              <w:t xml:space="preserve">,</w:t>
            </w:r>
            <w:r>
              <w:t xml:space="preserve">344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1.3019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1.2987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0.0025, 0.0014]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Symmetric vs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FTX, Nov 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  <w:r>
              <w:t xml:space="preserve">,</w:t>
            </w:r>
            <w:r>
              <w:t xml:space="preserve">344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1.3019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1.2995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0.0037, 0.0021]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Reversed vs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USDC/SVB, Mar 2023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  <w:r>
              <w:t xml:space="preserve">,</w:t>
            </w:r>
            <w:r>
              <w:t xml:space="preserve">344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1.6514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1.6551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0.0026, 0.0113]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Symmetric vs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USDC/SVB, Mar 2023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  <w:r>
              <w:t xml:space="preserve">,</w:t>
            </w:r>
            <w:r>
              <w:t xml:space="preserve">344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1.6514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1.6528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0.0011, 0.0064]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inconclusive</w:t>
            </w:r>
          </w:p>
        </w:tc>
      </w:tr>
    </w:tbl>
    <w:p>
      <w:pPr>
        <w:pStyle w:val="BodyText"/>
      </w:pPr>
    </w:p>
    <w:bookmarkEnd w:id="62"/>
    <w:bookmarkEnd w:id="63"/>
    <w:bookmarkStart w:id="64" w:name="subsec:placebo"/>
    <w:p>
      <w:pPr>
        <w:pStyle w:val="Heading2"/>
      </w:pPr>
      <w:r>
        <w:t xml:space="preserve">Placebos and external validity</w:t>
      </w:r>
    </w:p>
    <w:p>
      <w:pPr>
        <w:pStyle w:val="FirstParagraph"/>
      </w:pPr>
      <w:r>
        <w:t xml:space="preserve">The structural-zero check holds by construction: there are</w:t>
      </w:r>
      <w:r>
        <w:t xml:space="preserve"> </w:t>
      </w:r>
      <w:r>
        <w:t xml:space="preserve">196 connected and 14 unconnected pairs, and every unconnected pair has zero attribution. This is an</w:t>
      </w:r>
      <w:r>
        <w:t xml:space="preserve"> </w:t>
      </w:r>
      <w:r>
        <w:t xml:space="preserve">implementation check, not evidence. The rolling calm-window placebo gives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0.286</m:t>
        </m:r>
      </m:oMath>
      <w:r>
        <w:t xml:space="preserve"> </w:t>
      </w:r>
      <w:r>
        <w:t xml:space="preserve">over 20 windows, so it fails.</w:t>
      </w:r>
      <w:r>
        <w:t xml:space="preserve"> </w:t>
      </w:r>
      <w:r>
        <w:t xml:space="preserve">The time-shift placebo gives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0.0099</m:t>
        </m:r>
      </m:oMath>
      <w:r>
        <w:t xml:space="preserve"> </w:t>
      </w:r>
      <w:r>
        <w:t xml:space="preserve">(floor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t>0.0099</m:t>
        </m:r>
      </m:oMath>
      <w:r>
        <w:t xml:space="preserve">), so it passes (</w:t>
      </w:r>
      <m:oMath>
        <m:r>
          <m:t>B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shifted refits, seed 11). The fitted network carries timing</w:t>
      </w:r>
      <w:r>
        <w:t xml:space="preserve"> </w:t>
      </w:r>
      <w:r>
        <w:t xml:space="preserve">information, but the event-window attribution is not unusual relative to calm windows. The FTX rolling placebo gives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0.188</m:t>
        </m:r>
      </m:oMath>
      <w:r>
        <w:t xml:space="preserve"> </w:t>
      </w:r>
      <w:r>
        <w:t xml:space="preserve">(fails) and the SVB rolling placebo gives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0.032</m:t>
        </m:r>
      </m:oMath>
      <w:r>
        <w:t xml:space="preserve"> </w:t>
      </w:r>
      <w:r>
        <w:t xml:space="preserve">(passes). These are uncorrected.</w:t>
      </w:r>
    </w:p>
    <w:p>
      <w:pPr>
        <w:pStyle w:val="BodyText"/>
      </w:pPr>
      <w:r>
        <w:t xml:space="preserve">External validity is checked by comparing transmitters (Ethena and Binance) with absorbers (Aave and Lido). Pairwise</w:t>
      </w:r>
      <w:r>
        <w:t xml:space="preserve"> </w:t>
      </w:r>
      <w:r>
        <w:t xml:space="preserve">concordance is 0.50 on the point estimate (0.65 averaged over the bootstrap replicates), and the separation is</w:t>
      </w:r>
      <w:r>
        <w:t xml:space="preserve"> </w:t>
      </w:r>
      <w:r>
        <w:t xml:space="preserve">8.15. The probability that all transmitters rank above all absorbers is 0.14. Binance passes the check, but Ethena fails</w:t>
      </w:r>
      <w:r>
        <w:t xml:space="preserve"> </w:t>
      </w:r>
      <w:r>
        <w:t xml:space="preserve">at rank 14. All four entities have non-degenerate stress, so the check is not vacuous.</w:t>
      </w:r>
    </w:p>
    <w:bookmarkEnd w:id="64"/>
    <w:bookmarkStart w:id="65" w:name="subsec:multievent"/>
    <w:p>
      <w:pPr>
        <w:pStyle w:val="Heading2"/>
      </w:pPr>
      <w:r>
        <w:t xml:space="preserve">Multi-event validation</w:t>
      </w:r>
    </w:p>
    <w:p>
      <w:pPr>
        <w:pStyle w:val="FirstParagraph"/>
      </w:pPr>
      <w:r>
        <w:t xml:space="preserve">We rerun the pipeline on two earlier episodes: the FTX collapse (event window 8–11 November 2022) and the USDC depeg</w:t>
      </w:r>
      <w:r>
        <w:t xml:space="preserve"> </w:t>
      </w:r>
      <w:r>
        <w:t xml:space="preserve">around the Silicon Valley Bank failure (event window 10–13 March 2023). These use the same CEX label set and the</w:t>
      </w:r>
      <w:r>
        <w:t xml:space="preserve"> </w:t>
      </w:r>
      <w:r>
        <w:t xml:space="preserve">hourly specification (Appendix </w:t>
      </w:r>
      <w:hyperlink w:anchor="app:impl">
        <w:r>
          <w:rPr>
            <w:rStyle w:val="Hyperlink"/>
          </w:rPr>
          <w:t xml:space="preserve">8</w:t>
        </w:r>
      </w:hyperlink>
      <w:r>
        <w:t xml:space="preserve">). Table </w:t>
      </w:r>
      <w:hyperlink w:anchor="tab:events">
        <w:r>
          <w:rPr>
            <w:rStyle w:val="Hyperlink"/>
          </w:rPr>
          <w:t xml:space="preserve">[tab:events]</w:t>
        </w:r>
      </w:hyperlink>
      <w:r>
        <w:t xml:space="preserve"> </w:t>
      </w:r>
      <w:r>
        <w:t xml:space="preserve">reports the top exporters, the rolling placebo and the direction verdict.</w:t>
      </w:r>
    </w:p>
    <w:p>
      <w:pPr>
        <w:pStyle w:val="BodyText"/>
      </w:pPr>
      <w:r>
        <w:t xml:space="preserve">FTX is the top exporter, with rank interval [1, 3] and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top-3</m:t>
            </m:r>
          </m:e>
        </m:d>
        <m:r>
          <m:rPr>
            <m:sty m:val="p"/>
          </m:rPr>
          <m:t>=</m:t>
        </m:r>
        <m:r>
          <m:t>1.00</m:t>
        </m:r>
      </m:oMath>
      <w:r>
        <w:t xml:space="preserve">. This is</w:t>
      </w:r>
      <w:r>
        <w:t xml:space="preserve"> </w:t>
      </w:r>
      <w:r>
        <w:t xml:space="preserve">consistent with the failing venue exporting stress, but it is descriptive: FTX’s stress is flow-based and dominated by its own</w:t>
      </w:r>
      <w:r>
        <w:t xml:space="preserve"> </w:t>
      </w:r>
      <w:r>
        <w:t xml:space="preserve">outflows, and no causal claim is made. Retail is second and Binance third. In the SVB episode retail leads, followed by Binance and Coinbase.</w:t>
      </w:r>
    </w:p>
    <w:p>
      <w:pPr>
        <w:pStyle w:val="BodyText"/>
      </w:pPr>
      <w:r>
        <w:t xml:space="preserve">Direction is inconclusive in both episodes. In FTX the reversed graph has the lowest RMSE, but the interval includes zero.</w:t>
      </w:r>
      <w:r>
        <w:t xml:space="preserve"> </w:t>
      </w:r>
      <w:r>
        <w:t xml:space="preserve">In SVB the true-direction graph has the lowest RMSE, the symmetric graph is close behind, and the reversed-minus-true interval includes zero. These comparisons are low-powered.</w:t>
      </w:r>
      <w:r>
        <w:t xml:space="preserve"> </w:t>
      </w:r>
      <w:r>
        <w:t xml:space="preserve">The earlier episodes have 912 and 888 fit rows, and the daily robustness runs have 38 and</w:t>
      </w:r>
      <w:r>
        <w:t xml:space="preserve"> </w:t>
      </w:r>
      <w:r>
        <w:t xml:space="preserve">37 fit rows against a required minimum of 125. The daily runs are therefore underpowered and are not reported.</w:t>
      </w:r>
    </w:p>
    <w:tbl>
      <w:tblPr>
        <w:tblStyle w:val="Table"/>
        <w:tblW w:type="pct" w:w="2100"/>
        <w:tblLook w:firstRow="1" w:lastRow="0" w:firstColumn="0" w:lastColumn="0" w:noHBand="0" w:noVBand="0" w:val="0020"/>
        <w:jc w:val="start"/>
      </w:tblPr>
      <w:tblGrid>
        <w:gridCol w:w="0"/>
        <w:gridCol w:w="3326"/>
        <w:gridCol w:w="0"/>
        <w:gridCol w:w="0"/>
        <w:gridCol w:w="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three exporters (rank CI;</w:t>
            </w:r>
            <w:r>
              <w:rPr>
                <w:bCs/>
                <w:b/>
              </w:rPr>
              <w:t xml:space="preserve"> </w:t>
            </w:r>
            <m:oMath>
              <m:r>
                <m:t>P</m:t>
              </m:r>
            </m:oMath>
            <w:r>
              <w:rPr>
                <w:bCs/>
                <w:b/>
              </w:rPr>
              <w:t xml:space="preserve">(top-3))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Rolling</w:t>
            </w:r>
            <w:r>
              <w:rPr>
                <w:bCs/>
                <w:b/>
              </w:rPr>
              <w:t xml:space="preserve"> </w:t>
            </w:r>
            <m:oMath>
              <m:r>
                <m:t>p</m:t>
              </m:r>
            </m:oMath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(windows)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Reversed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Symmetric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 rank [1, 3],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0.98; MakerSky rank [1, 5],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0.88; Bitfinex rank [2, 10],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0.286 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inconclusive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FTX, Nov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FTX rank [1, 3],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1.00; retail rank [1, 3],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0.98; Binance rank [2, 6],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0.64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0.188 (31)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inconclusive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inconclusive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USDC/SVB, Mar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 rank [1, 2],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1.00; Binance rank [1, 5],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0.85; Coinbase rank [2, 7],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0.032 (30)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inconclusive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inconclusive</w:t>
            </w:r>
          </w:p>
        </w:tc>
      </w:tr>
    </w:tbl>
    <w:p>
      <w:pPr>
        <w:pStyle w:val="BodyText"/>
      </w:pPr>
    </w:p>
    <w:bookmarkEnd w:id="65"/>
    <w:bookmarkStart w:id="66" w:name="subsec:robustness"/>
    <w:p>
      <w:pPr>
        <w:pStyle w:val="Heading2"/>
      </w:pPr>
      <w:r>
        <w:t xml:space="preserve">Robustness</w:t>
      </w:r>
    </w:p>
    <w:p>
      <w:pPr>
        <w:pStyle w:val="FirstParagraph"/>
      </w:pPr>
      <w:r>
        <w:t xml:space="preserve">The top-</w:t>
      </w:r>
      <m:oMath>
        <m:r>
          <m:t>k</m:t>
        </m:r>
      </m:oMath>
      <w:r>
        <w:t xml:space="preserve">, edge-dropping, latent-shock and coefficient-noise checks use archived runs (</w:t>
      </w:r>
      <w:r>
        <w:rPr>
          <w:rStyle w:val="VerbatimChar"/>
        </w:rPr>
        <w:t xml:space="preserve">topk_sensitivity.json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revision*.json</w:t>
      </w:r>
      <w:r>
        <w:t xml:space="preserve">) that predate the circular-block shock draws, so they are point comparisons without bootstrap intervals. The top-</w:t>
      </w:r>
      <m:oMath>
        <m:r>
          <m:t>k</m:t>
        </m:r>
      </m:oMath>
      <w:r>
        <w:t xml:space="preserve"> </w:t>
      </w:r>
      <w:r>
        <w:t xml:space="preserve">check compares the main specification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. The Spearman correlation over the common entities is</w:t>
      </w:r>
      <w:r>
        <w:t xml:space="preserve"> </w:t>
      </w:r>
      <w:r>
        <w:t xml:space="preserve">0.984 (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and 0.986 (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), and the top-three overlap is 3 and 3 entities. The top channel,</w:t>
      </w:r>
      <w:r>
        <w:t xml:space="preserve"> </w:t>
      </w:r>
      <w:r>
        <w:t xml:space="preserve">MakerSky</w:t>
      </w:r>
      <m:oMath>
        <m:r>
          <m:rPr>
            <m:sty m:val="p"/>
          </m:rPr>
          <m:t>→</m:t>
        </m:r>
      </m:oMath>
      <w:r>
        <w:t xml:space="preserve">retail, has share 15.6%, 15.2% and 16.4%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15</m:t>
        </m:r>
      </m:oMath>
      <w:r>
        <w:t xml:space="preserve">.</w:t>
      </w:r>
    </w:p>
    <w:p>
      <w:pPr>
        <w:pStyle w:val="BodyText"/>
      </w:pPr>
      <w:r>
        <w:t xml:space="preserve">For confounding, the robustness values range from 0.089 to 0.231 across the 15 edges with the largest</w:t>
      </w:r>
      <w:r>
        <w:t xml:space="preserve"> </w:t>
      </w:r>
      <m:oMath>
        <m:r>
          <m:t>t</m:t>
        </m:r>
      </m:oMath>
      <w:r>
        <w:t xml:space="preserve">-statistics of the 90 in the hourly graph, with</w:t>
      </w:r>
      <w:r>
        <w:t xml:space="preserve"> </w:t>
      </w:r>
      <w:r>
        <w:t xml:space="preserve">MakerSky</w:t>
      </w:r>
      <m:oMath>
        <m:r>
          <m:rPr>
            <m:sty m:val="p"/>
          </m:rPr>
          <m:t>→</m:t>
        </m:r>
      </m:oMath>
      <w:r>
        <w:t xml:space="preserve">retail at 0.231. These values are moderate, not large. Dropping the 22 lowest-RV edges leaves the Spearman</w:t>
      </w:r>
      <w:r>
        <w:t xml:space="preserve"> </w:t>
      </w:r>
      <w:r>
        <w:t xml:space="preserve">correlation at 0.989. A latent common shock of strength 0.3 and 0.6 gives Spearman correlations of 0.986 and 0.904,</w:t>
      </w:r>
      <w:r>
        <w:t xml:space="preserve"> </w:t>
      </w:r>
      <w:r>
        <w:t xml:space="preserve">with a top-three overlap of 0.67. Coefficient noise (15% relative standard deviation) changes the Binance</w:t>
      </w:r>
      <m:oMath>
        <m:r>
          <m:rPr>
            <m:sty m:val="p"/>
          </m:rPr>
          <m:t>→</m:t>
        </m:r>
      </m:oMath>
      <w:r>
        <w:t xml:space="preserve">Bybit share</w:t>
      </w:r>
      <w:r>
        <w:t xml:space="preserve"> </w:t>
      </w:r>
      <w:r>
        <w:t xml:space="preserve">by a standard deviation of 0.65 percentage points, and the share stays positive in every draw. The bootstrap width dominates.</w:t>
      </w:r>
    </w:p>
    <w:p>
      <w:pPr>
        <w:pStyle w:val="BodyText"/>
      </w:pPr>
      <w:r>
        <w:t xml:space="preserve">Under the alternative resolution rule, the Spearman correlation with the main ranking is 0.714 over 6 common entities</w:t>
      </w:r>
      <w:r>
        <w:t xml:space="preserve"> </w:t>
      </w:r>
      <w:r>
        <w:t xml:space="preserve">(p=0.111), which is not established. For the price-based baseline, the Spearman correlation between the OC-CoVaR ranking and</w:t>
      </w:r>
      <w:r>
        <w:t xml:space="preserve"> </w:t>
      </w:r>
      <m:oMath>
        <m:r>
          <m:t>Δ</m:t>
        </m:r>
      </m:oMath>
      <w:r>
        <w:t xml:space="preserve">CoVaR over six mapped entities is 0.371 (n=6). This is not distinguishable from zero, and is an illustration only.</w:t>
      </w:r>
    </w:p>
    <w:bookmarkEnd w:id="66"/>
    <w:bookmarkEnd w:id="67"/>
    <w:bookmarkStart w:id="72" w:name="sec:discussion"/>
    <w:p>
      <w:pPr>
        <w:pStyle w:val="Heading1"/>
      </w:pPr>
      <w:r>
        <w:t xml:space="preserve">Discussion</w:t>
      </w:r>
    </w:p>
    <w:bookmarkStart w:id="68" w:name="what-the-ledger-buys."/>
    <w:p>
      <w:pPr>
        <w:pStyle w:val="Heading4"/>
      </w:pPr>
      <w:r>
        <w:t xml:space="preserve">What the ledger buys.</w:t>
      </w:r>
    </w:p>
    <w:p>
      <w:pPr>
        <w:pStyle w:val="FirstParagraph"/>
      </w:pPr>
      <w:r>
        <w:t xml:space="preserve">The observed transaction graph is auditable. Every edge maps to inspectable transfers, structural</w:t>
      </w:r>
      <w:r>
        <w:t xml:space="preserve"> </w:t>
      </w:r>
      <w:r>
        <w:t xml:space="preserve">zeros are exact, and attributions are reproducible from public data. It is not sufficient. At hourly scale the own lag and idiosyncratic</w:t>
      </w:r>
      <w:r>
        <w:t xml:space="preserve"> </w:t>
      </w:r>
      <w:r>
        <w:t xml:space="preserve">shocks account for more of stress than the network does, and the ledger-specified network adds nothing detectable out of sample.</w:t>
      </w:r>
    </w:p>
    <w:bookmarkEnd w:id="68"/>
    <w:bookmarkStart w:id="69" w:name="X029a420031a656e7f585374394e24cfc7c2c0e7"/>
    <w:p>
      <w:pPr>
        <w:pStyle w:val="Heading4"/>
      </w:pPr>
      <w:r>
        <w:t xml:space="preserve">Implications for supervisors and risk teams.</w:t>
      </w:r>
    </w:p>
    <w:p>
      <w:pPr>
        <w:pStyle w:val="FirstParagraph"/>
      </w:pPr>
      <w:r>
        <w:t xml:space="preserve">Ledger graphs are useful as an audit layer and a hypothesis generator, not as a</w:t>
      </w:r>
      <w:r>
        <w:t xml:space="preserve"> </w:t>
      </w:r>
      <w:r>
        <w:t xml:space="preserve">standalone contagion estimate. Any</w:t>
      </w:r>
      <w:r>
        <w:t xml:space="preserve"> </w:t>
      </w:r>
      <w:r>
        <w:t xml:space="preserve">“</w:t>
      </w:r>
      <w:r>
        <w:t xml:space="preserve">share of distress</w:t>
      </w:r>
      <w:r>
        <w:t xml:space="preserve">”</w:t>
      </w:r>
      <w:r>
        <w:t xml:space="preserve"> </w:t>
      </w:r>
      <w:r>
        <w:t xml:space="preserve">statement should use full abduction, because zero-shock abduction inflates</w:t>
      </w:r>
      <w:r>
        <w:t xml:space="preserve"> </w:t>
      </w:r>
      <w:r>
        <w:t xml:space="preserve">the Binance</w:t>
      </w:r>
      <m:oMath>
        <m:r>
          <m:rPr>
            <m:sty m:val="p"/>
          </m:rPr>
          <m:t>→</m:t>
        </m:r>
      </m:oMath>
      <w:r>
        <w:t xml:space="preserve">Bybit share from 6.3% to 65.3% on the same data. Explained-variance diagnostics should be</w:t>
      </w:r>
      <w:r>
        <w:t xml:space="preserve"> </w:t>
      </w:r>
      <w:r>
        <w:t xml:space="preserve">reported next to attributions, and rank uncertainty should be reported rather than point ranks.</w:t>
      </w:r>
    </w:p>
    <w:bookmarkEnd w:id="69"/>
    <w:bookmarkStart w:id="70" w:name="limits."/>
    <w:p>
      <w:pPr>
        <w:pStyle w:val="Heading4"/>
      </w:pPr>
      <w:r>
        <w:t xml:space="preserve">Limits.</w:t>
      </w:r>
    </w:p>
    <w:p>
      <w:pPr>
        <w:pStyle w:val="FirstParagraph"/>
      </w:pPr>
      <w:r>
        <w:t xml:space="preserve">CEX opacity is the main threat to A2: the proximate cause, an exchange’s pricing engine, is off-chain, and the</w:t>
      </w:r>
      <w:r>
        <w:t xml:space="preserve"> </w:t>
      </w:r>
      <w:r>
        <w:t xml:space="preserve">robustness values bound but cannot remove this threat. Label coverage is limited: named-to-named flow is about 3.0% of</w:t>
      </w:r>
      <w:r>
        <w:t xml:space="preserve"> </w:t>
      </w:r>
      <w:r>
        <w:t xml:space="preserve">entity-touching flow, volume recall of the Tier-0 rule is at most 4.3%, and validation covers only Binance and Bitget deposits.</w:t>
      </w:r>
      <w:r>
        <w:t xml:space="preserve"> </w:t>
      </w:r>
      <w:r>
        <w:t xml:space="preserve">The retail aggregate dominates both the ranking and the channels. The model is linear and has no own lag, and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held fixed</w:t>
      </w:r>
      <w:r>
        <w:t xml:space="preserve"> </w:t>
      </w:r>
      <w:r>
        <w:t xml:space="preserve">in the bootstrap. There are three events, and the tests are uncorrected for multiplicity. The DeFi nodes use price-based components.</w:t>
      </w:r>
    </w:p>
    <w:bookmarkEnd w:id="70"/>
    <w:bookmarkStart w:id="71" w:name="extensions."/>
    <w:p>
      <w:pPr>
        <w:pStyle w:val="Heading4"/>
      </w:pPr>
      <w:r>
        <w:t xml:space="preserve">Extensions.</w:t>
      </w:r>
    </w:p>
    <w:p>
      <w:pPr>
        <w:pStyle w:val="FirstParagraph"/>
      </w:pPr>
      <w:r>
        <w:t xml:space="preserve">Own-lag or regime-dependent structural equations, nonlinear clearing, intraday horizons, and better CEX resolution</w:t>
      </w:r>
      <w:r>
        <w:t xml:space="preserve"> </w:t>
      </w:r>
      <w:r>
        <w:t xml:space="preserve">are natural next steps.</w:t>
      </w:r>
    </w:p>
    <w:bookmarkEnd w:id="71"/>
    <w:bookmarkEnd w:id="72"/>
    <w:bookmarkStart w:id="73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treat the entity-resolved on-chain ledger as a candidate structural skeleton. We give an interventional measure, OC-CoVaR, and a</w:t>
      </w:r>
      <w:r>
        <w:t xml:space="preserve"> </w:t>
      </w:r>
      <w:r>
        <w:t xml:space="preserve">counterfactual loss attribution with full abduction. We prove flow-free bounds, the network-multiplier form, abduction invariance of</w:t>
      </w:r>
      <w:r>
        <w:t xml:space="preserve"> </w:t>
      </w:r>
      <w:r>
        <w:t xml:space="preserve">the stress deviation, a share bound, the walk representation of the linear Shapley attribution and an exact subset algorithm. On the</w:t>
      </w:r>
      <w:r>
        <w:t xml:space="preserve"> </w:t>
      </w:r>
      <w:r>
        <w:t xml:space="preserve">October 2025 event the framework is auditable but explains little hourly stress out of sample, does not clearly beat price-estimated</w:t>
      </w:r>
      <w:r>
        <w:t xml:space="preserve"> </w:t>
      </w:r>
      <w:r>
        <w:t xml:space="preserve">graphs, and cannot identify edge direction. Its share-based statements are reliable only under full abduction and with</w:t>
      </w:r>
      <w:r>
        <w:t xml:space="preserve"> </w:t>
      </w:r>
      <w:r>
        <w:t xml:space="preserve">explained-variance diagnostics. The benchmark is released so that these conclusions can be checked on free public data.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All code, query definitions and derived result files (</w:t>
      </w:r>
      <w:r>
        <w:rPr>
          <w:rStyle w:val="VerbatimChar"/>
        </w:rPr>
        <w:t xml:space="preserve">results/*.json</w:t>
      </w:r>
      <w:r>
        <w:t xml:space="preserve">) underlying</w:t>
      </w:r>
      <w:r>
        <w:t xml:space="preserve"> </w:t>
      </w:r>
      <w:r>
        <w:t xml:space="preserve">every number, table and figure are available at [repository link withheld for review].</w:t>
      </w:r>
      <w:r>
        <w:t xml:space="preserve"> </w:t>
      </w:r>
      <w:r>
        <w:t xml:space="preserve">Raw transfers are not redistributed. They are regenerated from the public BigQuery dataset</w:t>
      </w:r>
      <w:r>
        <w:t xml:space="preserve"> </w:t>
      </w:r>
      <w:r>
        <w:rPr>
          <w:rStyle w:val="VerbatimChar"/>
        </w:rPr>
        <w:t xml:space="preserve">bigquery-public-data.crypto_ethereum</w:t>
      </w:r>
      <w:r>
        <w:t xml:space="preserve"> </w:t>
      </w:r>
      <w:r>
        <w:t xml:space="preserve">(token transfers), which can be queried in the free BigQuery sandbox; the full build processed 327 GiB. Address labels come</w:t>
      </w:r>
      <w:r>
        <w:t xml:space="preserve"> </w:t>
      </w:r>
      <w:r>
        <w:t xml:space="preserve">from the eth-labels (commit</w:t>
      </w:r>
      <w:r>
        <w:t xml:space="preserve"> </w:t>
      </w:r>
      <w:r>
        <w:rPr>
          <w:rStyle w:val="VerbatimChar"/>
        </w:rPr>
        <w:t xml:space="preserve">d9b21aefeded56f7fce7208d6fa173d128526c1b</w:t>
      </w:r>
      <w:r>
        <w:t xml:space="preserve">) and etherscan-labels (commit</w:t>
      </w:r>
      <w:r>
        <w:t xml:space="preserve"> </w:t>
      </w:r>
      <w:r>
        <w:rPr>
          <w:rStyle w:val="VerbatimChar"/>
        </w:rPr>
        <w:t xml:space="preserve">923aba72c7e2d0682f7ae6194b6140bd90668dc9</w:t>
      </w:r>
      <w:r>
        <w:t xml:space="preserve">) repositories, both</w:t>
      </w:r>
      <w:r>
        <w:t xml:space="preserve"> </w:t>
      </w:r>
      <w:r>
        <w:t xml:space="preserve">MIT-licensed, and a label table built from these two sources alone is included. The Dune Spellbook CEX address list (commit</w:t>
      </w:r>
      <w:r>
        <w:t xml:space="preserve"> </w:t>
      </w:r>
      <w:r>
        <w:rPr>
          <w:rStyle w:val="VerbatimChar"/>
        </w:rPr>
        <w:t xml:space="preserve">6030202f2d6ee595dc568100c62723f26e5edda5</w:t>
      </w:r>
      <w:r>
        <w:t xml:space="preserve">) is licensed under the Business Source License 1.1; it is fetched at the pinned commit at run time, used</w:t>
      </w:r>
      <w:r>
        <w:t xml:space="preserve"> </w:t>
      </w:r>
      <w:r>
        <w:t xml:space="preserve">only to build internal label tables, and is not redistributed. Prices are from CoinGecko and protocol TVL from DefiLlama. No</w:t>
      </w:r>
      <w:r>
        <w:t xml:space="preserve"> </w:t>
      </w:r>
      <w:r>
        <w:t xml:space="preserve">restricted or proprietary data were used.</w:t>
      </w:r>
    </w:p>
    <w:p>
      <w:pPr>
        <w:pStyle w:val="BodyText"/>
      </w:pPr>
      <w:r>
        <w:rPr>
          <w:bCs/>
          <w:b/>
        </w:rPr>
        <w:t xml:space="preserve">Code availability.</w:t>
      </w:r>
      <w:r>
        <w:t xml:space="preserve"> </w:t>
      </w:r>
      <w:r>
        <w:t xml:space="preserve">Code is in the repository named in the data availability statement.</w:t>
      </w:r>
    </w:p>
    <w:p>
      <w:pPr>
        <w:pStyle w:val="BodyText"/>
      </w:pPr>
      <w:r>
        <w:rPr>
          <w:bCs/>
          <w:b/>
        </w:rPr>
        <w:t xml:space="preserve">Ethics approval and consent to participate.</w:t>
      </w:r>
      <w:r>
        <w:t xml:space="preserve"> </w:t>
      </w:r>
      <w:r>
        <w:t xml:space="preserve">Not applicable: this study</w:t>
      </w:r>
      <w:r>
        <w:t xml:space="preserve"> </w:t>
      </w:r>
      <w:r>
        <w:t xml:space="preserve">uses only public, aggregated on-chain and market data and involves no human subjects.</w:t>
      </w:r>
    </w:p>
    <w:p>
      <w:pPr>
        <w:pStyle w:val="BodyText"/>
      </w:pPr>
      <w:r>
        <w:rPr>
          <w:bCs/>
          <w:b/>
        </w:rPr>
        <w:t xml:space="preserve">Consent for publication.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Cs/>
          <w:b/>
        </w:rPr>
        <w:t xml:space="preserve">Competing interests.</w:t>
      </w:r>
      <w:r>
        <w:t xml:space="preserve"> </w:t>
      </w:r>
      <w:r>
        <w:t xml:space="preserve">The author declares no competing interests.</w:t>
      </w:r>
    </w:p>
    <w:p>
      <w:pPr>
        <w:pStyle w:val="BodyText"/>
      </w:pPr>
      <w:r>
        <w:rPr>
          <w:bCs/>
          <w:b/>
        </w:rPr>
        <w:t xml:space="preserve">Funding.</w:t>
      </w:r>
      <w:r>
        <w:t xml:space="preserve"> </w:t>
      </w:r>
      <w:r>
        <w:t xml:space="preserve">No external funding supported this work.</w:t>
      </w:r>
    </w:p>
    <w:p>
      <w:pPr>
        <w:pStyle w:val="BodyText"/>
      </w:pPr>
      <w:r>
        <w:rPr>
          <w:bCs/>
          <w:b/>
        </w:rPr>
        <w:t xml:space="preserve">Authors’ contributions.</w:t>
      </w:r>
      <w:r>
        <w:t xml:space="preserve"> </w:t>
      </w:r>
      <w:r>
        <w:t xml:space="preserve">Withheld for review.</w:t>
      </w:r>
    </w:p>
    <w:bookmarkEnd w:id="73"/>
    <w:bookmarkStart w:id="74" w:name="app:impl"/>
    <w:p>
      <w:pPr>
        <w:pStyle w:val="Heading1"/>
      </w:pPr>
      <w:r>
        <w:t xml:space="preserve">Implementation details and backtests</w:t>
      </w:r>
    </w:p>
    <w:p>
      <w:pPr>
        <w:pStyle w:val="FirstParagraph"/>
      </w:pPr>
      <w:r>
        <w:t xml:space="preserve">The pipeline is implemented in Python, with on-chain data queried from BigQuery and cached by query hash. Structural equations</w:t>
      </w:r>
      <w:r>
        <w:t xml:space="preserve"> </w:t>
      </w:r>
      <w:hyperlink w:anchor="eq:fi">
        <w:r>
          <w:rPr>
            <w:rStyle w:val="Hyperlink"/>
          </w:rPr>
          <w:t xml:space="preserve">[eq:fi]</w:t>
        </w:r>
      </w:hyperlink>
      <w:r>
        <w:t xml:space="preserve"> </w:t>
      </w:r>
      <w:r>
        <w:t xml:space="preserve">are fitted by ridge regression with penalty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 The deposit-sweep threshold 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0.8</m:t>
        </m:r>
      </m:oMath>
      <w:r>
        <w:t xml:space="preserve">, the VaR</w:t>
      </w:r>
      <w:r>
        <w:t xml:space="preserve"> </w:t>
      </w:r>
      <w:r>
        <w:t xml:space="preserve">level is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0.95</m:t>
        </m:r>
      </m:oMath>
      <w:r>
        <w:t xml:space="preserve">, and the seeds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for the point estimate,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251</m:t>
        </m:r>
        <m:r>
          <m:rPr>
            <m:sty m:val="p"/>
          </m:rPr>
          <m:t>,</m:t>
        </m:r>
        <m:r>
          <m:t>010</m:t>
        </m:r>
      </m:oMath>
      <w:r>
        <w:t xml:space="preserve"> </w:t>
      </w:r>
      <w:r>
        <w:t xml:space="preserve">for the bootstrap,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251</m:t>
        </m:r>
        <m:r>
          <m:rPr>
            <m:sty m:val="p"/>
          </m:rPr>
          <m:t>,</m:t>
        </m:r>
        <m:r>
          <m:t>011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attribution, and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for the time-shift placebo. The Monte-Carlo point estimate uses 2</w:t>
      </w:r>
      <w:r>
        <w:t xml:space="preserve">,</w:t>
      </w:r>
      <w:r>
        <w:t xml:space="preserve">000 simulations, full abduction of</w:t>
      </w:r>
      <w:r>
        <w:t xml:space="preserve"> </w:t>
      </w:r>
      <w:r>
        <w:t xml:space="preserve">the event-window shocks, joint residual rows and the sample quantile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the 0.95 quantile of the fit window only</w:t>
      </w:r>
      <w:r>
        <w:t xml:space="preserve"> </w:t>
      </w:r>
      <w:r>
        <w:t xml:space="preserve">(600 hours). Each bootstrap replicate uses 500 simulations. The coefficient-perturbation checks multiply</w:t>
      </w:r>
      <w:r>
        <w:t xml:space="preserve"> </w:t>
      </w:r>
      <w:r>
        <w:t xml:space="preserve">every stress and flow coefficient by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η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η</m:t>
        </m:r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0.15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The H1 bootstrap uses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circular blocks.</w:t>
      </w:r>
    </w:p>
    <w:bookmarkEnd w:id="74"/>
    <w:bookmarkStart w:id="75" w:name="app:resolution"/>
    <w:p>
      <w:pPr>
        <w:pStyle w:val="Heading1"/>
      </w:pPr>
      <w:r>
        <w:t xml:space="preserve">Entity-resolution validation</w:t>
      </w:r>
    </w:p>
    <w:p>
      <w:pPr>
        <w:pStyle w:val="FirstParagraph"/>
      </w:pPr>
      <w:r>
        <w:t xml:space="preserve">Table </w:t>
      </w:r>
      <w:hyperlink w:anchor="tab:tier0">
        <w:r>
          <w:rPr>
            <w:rStyle w:val="Hyperlink"/>
          </w:rPr>
          <w:t xml:space="preserve">[tab:tier0]</w:t>
        </w:r>
      </w:hyperlink>
      <w:r>
        <w:t xml:space="preserve"> </w:t>
      </w:r>
      <w:r>
        <w:t xml:space="preserve">reports the Tier-0 validation per extract. The Tier-0 rule is the deposit-sweep rule of</w:t>
      </w:r>
      <w:r>
        <w:t xml:space="preserve"> </w:t>
      </w:r>
      <w:r>
        <w:t xml:space="preserve">Section </w:t>
      </w:r>
      <w:hyperlink w:anchor="subsec:resolution">
        <w:r>
          <w:rPr>
            <w:rStyle w:val="Hyperlink"/>
          </w:rPr>
          <w:t xml:space="preserve">4.2</w:t>
        </w:r>
      </w:hyperlink>
      <w:r>
        <w:t xml:space="preserve">, with the tightened parameters used only for FTX.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Holdout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Overlap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Wrong root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Precision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Recall (count)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Recall (volume)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 2025 (hourly)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  <w:r>
              <w:t xml:space="preserve">,</w:t>
            </w:r>
            <w:r>
              <w:t xml:space="preserve">080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FTX (hourly)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  <w:r>
              <w:t xml:space="preserve">,</w:t>
            </w:r>
            <w:r>
              <w:t xml:space="preserve">080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USDC/SVB (hourly)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  <w:r>
              <w:t xml:space="preserve">,</w:t>
            </w:r>
            <w:r>
              <w:t xml:space="preserve">080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  <w:r>
              <w:t xml:space="preserve">,</w:t>
            </w:r>
            <w:r>
              <w:t xml:space="preserve">080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</w:tr>
    </w:tbl>
    <w:p>
      <w:pPr>
        <w:pStyle w:val="BodyText"/>
      </w:pPr>
    </w:p>
    <w:p>
      <w:pPr>
        <w:pStyle w:val="BodyText"/>
      </w:pPr>
      <w:r>
        <w:t xml:space="preserve">The Tier-1 classifier and the embedding are validated against CEX-labelled addresses in the USDe window</w:t>
      </w:r>
      <w:r>
        <w:t xml:space="preserve"> </w:t>
      </w:r>
      <w:r>
        <w:t xml:space="preserve">(8–14 October 2025). After the mint/burn sentinel is excluded, the window has 7</w:t>
      </w:r>
      <w:r>
        <w:t xml:space="preserve">,</w:t>
      </w:r>
      <w:r>
        <w:t xml:space="preserve">019 addresses, of which 41 are CEX-labelled</w:t>
      </w:r>
      <w:r>
        <w:t xml:space="preserve"> </w:t>
      </w:r>
      <w:r>
        <w:t xml:space="preserve">(base rate 0.6%). The held-out ROC-AUC is 0.89, and the average precision is 0.17. At the best-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threshold the classifier’s precision and recall by address count are 0.13 and 0.58. By USD volume, precision is</w:t>
      </w:r>
      <w:r>
        <w:t xml:space="preserve"> </w:t>
      </w:r>
      <w:r>
        <w:t xml:space="preserve">0.92 and recall is only 0.15. The Tier-2 cluster homogeneity is 0.10.</w:t>
      </w:r>
      <w:r>
        <w:t xml:space="preserve"> </w:t>
      </w:r>
      <w:r>
        <w:t xml:space="preserve">The ground truth is small and deposit-dominated, so these numbers are a weak check. Tier-3 label matching therefore remains the</w:t>
      </w:r>
      <w:r>
        <w:t xml:space="preserve"> </w:t>
      </w:r>
      <w:r>
        <w:t xml:space="preserve">production resolver.</w:t>
      </w:r>
    </w:p>
    <w:bookmarkEnd w:id="75"/>
    <w:bookmarkStart w:id="77" w:name="app:proofs"/>
    <w:p>
      <w:pPr>
        <w:pStyle w:val="Heading1"/>
      </w:pPr>
      <w:r>
        <w:t xml:space="preserve">Proofs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, which is nondecreasing and 1-Lipschitz, so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rPr>
            <m:sty m:val="p"/>
          </m:rPr>
          <m:t>≤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δ</m:t>
            </m:r>
          </m:e>
        </m:d>
        <m:r>
          <m:rPr>
            <m:sty m:val="p"/>
          </m:rPr>
          <m:t>−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≤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Proof of Proposition </w:t>
      </w:r>
      <w:hyperlink w:anchor="prop:A">
        <w:r>
          <w:rPr>
            <w:rStyle w:val="Hyperlink"/>
            <w:bCs/>
            <w:b/>
          </w:rPr>
          <w:t xml:space="preserve">2</w:t>
        </w:r>
      </w:hyperlink>
      <w:r>
        <w:rPr>
          <w:bCs/>
          <w:b/>
        </w:rPr>
        <w:t xml:space="preserve">.</w:t>
      </w:r>
      <w:r>
        <w:t xml:space="preserve"> </w:t>
      </w:r>
      <w:r>
        <w:t xml:space="preserve">(a) Let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Sup>
          <m:e>
            <m:r>
              <m:t>S</m:t>
            </m:r>
          </m:e>
          <m:sub>
            <m:r>
              <m:t>t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</m:e>
            </m:d>
          </m:sup>
        </m:sSubSup>
        <m:r>
          <m:rPr>
            <m:sty m:val="p"/>
          </m:rPr>
          <m:t>−</m:t>
        </m:r>
        <m:sSubSup>
          <m:e>
            <m:r>
              <m:t>S</m:t>
            </m:r>
          </m:e>
          <m:sub>
            <m:r>
              <m:t>t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</m:oMath>
      <w:r>
        <w:t xml:space="preserve">.</w:t>
      </w:r>
      <w:r>
        <w:t xml:space="preserve"> </w:t>
      </w:r>
      <w:r>
        <w:t xml:space="preserve">Both paths share the initial state and the inputs</w:t>
      </w:r>
      <w:r>
        <w:t xml:space="preserve"> </w:t>
      </w:r>
      <m:oMath>
        <m:r>
          <m:t>κ</m:t>
        </m:r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 For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p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p</m:t>
                </m:r>
              </m:sub>
            </m:sSub>
          </m:e>
        </m:nary>
        <m:sSub>
          <m:e>
            <m:r>
              <m:t>D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For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T</m:t>
        </m:r>
      </m:oMath>
      <w:r>
        <w:t xml:space="preserve">. We show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τ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r>
        <w:t xml:space="preserve">induction.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τ</m:t>
            </m:r>
          </m:e>
          <m:sub>
            <m:r>
              <m:t>0</m:t>
            </m:r>
          </m:sub>
        </m:sSub>
      </m:oMath>
      <w:r>
        <w:t xml:space="preserve">.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i</m:t>
        </m:r>
      </m:oMath>
      <w:r>
        <w:t xml:space="preserve"> </w:t>
      </w:r>
      <w:r>
        <w:t xml:space="preserve">coordinates satisfy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r>
          <m:t>s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p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p</m:t>
                </m:r>
              </m:sub>
            </m:sSub>
          </m:e>
        </m:nary>
        <m:sSub>
          <m:e>
            <m:r>
              <m:t>τ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s</m:t>
        </m:r>
        <m:r>
          <m:t> </m:t>
        </m:r>
        <m:sSub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A</m:t>
                </m:r>
                <m:sSub>
                  <m:e>
                    <m:r>
                      <m:t>τ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d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s</m:t>
        </m:r>
        <m:r>
          <m:t> </m:t>
        </m:r>
        <m:sSub>
          <m:e>
            <m:r>
              <m:t>τ</m:t>
            </m:r>
          </m:e>
          <m:sub>
            <m:r>
              <m:t>j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since the reset</w:t>
      </w:r>
      <w:r>
        <w:t xml:space="preserve"> </w:t>
      </w:r>
      <w:r>
        <w:t xml:space="preserve">affects only the</w:t>
      </w:r>
      <w:r>
        <w:t xml:space="preserve"> </w:t>
      </w:r>
      <m:oMath>
        <m:r>
          <m:t>i</m:t>
        </m:r>
      </m:oMath>
      <w:r>
        <w:t xml:space="preserve">-th coordinate, and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r>
          <m:t>s</m:t>
        </m:r>
        <m:r>
          <m:t> </m:t>
        </m:r>
        <m:sSub>
          <m:e>
            <m:r>
              <m:t>τ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(b) For a fixed realisation 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Sup>
          <m:e>
            <m:r>
              <m:t>S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</m:oMath>
      <w:r>
        <w:t xml:space="preserve">. Then</w:t>
      </w:r>
      <w:r>
        <w:t xml:space="preserve"> </w:t>
      </w:r>
      <m:oMath>
        <m:sSubSup>
          <m:e>
            <m:r>
              <m:t>L</m:t>
            </m:r>
          </m:e>
          <m:sub>
            <m:r>
              <m:t>j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</m:e>
            </m:d>
          </m:sup>
        </m:sSubSup>
        <m:r>
          <m:rPr>
            <m:sty m:val="p"/>
          </m:rPr>
          <m:t>−</m:t>
        </m:r>
        <m:sSubSup>
          <m:e>
            <m:r>
              <m:t>L</m:t>
            </m:r>
          </m:e>
          <m:sub>
            <m:r>
              <m:t>j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  <m:r>
              <m:rPr>
                <m:sty m:val="p"/>
              </m:rPr>
              <m:t>&lt;</m:t>
            </m:r>
            <m:r>
              <m:t>T</m:t>
            </m:r>
          </m:sub>
          <m:sup>
            <m:r>
              <m:t>​</m:t>
            </m:r>
          </m: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s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</m:e>
            </m:d>
          </m:e>
        </m:nary>
      </m:oMath>
      <w:r>
        <w:t xml:space="preserve">, and each summand lies in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min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  <m:sSub>
                  <m:e>
                    <m:r>
                      <m:t>τ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0</m:t>
                </m:r>
              </m:e>
            </m:d>
            <m:r>
              <m:rPr>
                <m:sty m:val="p"/>
              </m:rPr>
              <m:t>,</m:t>
            </m:r>
            <m:r>
              <m:rPr>
                <m:sty m:val="p"/>
              </m:rPr>
              <m:t>max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  <m:sSub>
                  <m:e>
                    <m:r>
                      <m:t>τ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0</m:t>
                </m:r>
              </m:e>
            </m:d>
          </m:e>
        </m:d>
      </m:oMath>
      <w:r>
        <w:t xml:space="preserve">. The sums</w:t>
      </w:r>
      <w:r>
        <w:t xml:space="preserve"> </w:t>
      </w:r>
      <m:oMath>
        <m:r>
          <m:rPr>
            <m:sty m:val="p"/>
          </m:rPr>
          <m:t>ℓ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these endpoints are deterministic, so</w:t>
      </w:r>
      <w:r>
        <w:t xml:space="preserve"> </w:t>
      </w:r>
      <m:oMath>
        <m:sSubSup>
          <m:e>
            <m:r>
              <m:t>L</m:t>
            </m:r>
          </m:e>
          <m:sub>
            <m:r>
              <m:t>j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  <m:r>
          <m:rPr>
            <m:sty m:val="p"/>
          </m:rPr>
          <m:t>+</m:t>
        </m:r>
        <m:r>
          <m:rPr>
            <m:sty m:val="p"/>
          </m:rPr>
          <m:t>ℓ</m:t>
        </m:r>
        <m:r>
          <m:rPr>
            <m:sty m:val="p"/>
          </m:rPr>
          <m:t>≤</m:t>
        </m:r>
        <m:sSubSup>
          <m:e>
            <m:r>
              <m:t>L</m:t>
            </m:r>
          </m:e>
          <m:sub>
            <m:r>
              <m:t>j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</m:e>
            </m:d>
          </m:sup>
        </m:sSubSup>
        <m:r>
          <m:rPr>
            <m:sty m:val="p"/>
          </m:rPr>
          <m:t>≤</m:t>
        </m:r>
        <m:sSubSup>
          <m:e>
            <m:r>
              <m:t>L</m:t>
            </m:r>
          </m:e>
          <m:sub>
            <m:r>
              <m:t>j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  <m:r>
          <m:rPr>
            <m:sty m:val="p"/>
          </m:rPr>
          <m:t>+</m:t>
        </m:r>
        <m:r>
          <m:t>u</m:t>
        </m:r>
      </m:oMath>
      <w:r>
        <w:t xml:space="preserve"> </w:t>
      </w:r>
      <w:r>
        <w:t xml:space="preserve">pointwise. Quantiles are monotone and translation-equivariant, which gives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L</m:t>
                </m:r>
              </m:e>
              <m:sub>
                <m:r>
                  <m:t>j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</m:sup>
            </m:sSubSup>
          </m:e>
        </m:d>
        <m:r>
          <m:rPr>
            <m:sty m:val="p"/>
          </m:rPr>
          <m:t>+</m:t>
        </m:r>
        <m:r>
          <m:rPr>
            <m:sty m:val="p"/>
          </m:rPr>
          <m:t>ℓ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L</m:t>
                </m:r>
              </m:e>
              <m:sub>
                <m:r>
                  <m:t>j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s</m:t>
                    </m:r>
                  </m:e>
                </m:d>
              </m:sup>
            </m:sSubSup>
          </m:e>
        </m:d>
        <m:r>
          <m:rPr>
            <m:sty m:val="p"/>
          </m:rPr>
          <m:t>≤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L</m:t>
                </m:r>
              </m:e>
              <m:sub>
                <m:r>
                  <m:t>j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</m:sup>
            </m:sSubSup>
          </m:e>
        </m:d>
        <m:r>
          <m:rPr>
            <m:sty m:val="p"/>
          </m:rPr>
          <m:t>+</m:t>
        </m:r>
        <m:r>
          <m:t>u</m:t>
        </m:r>
      </m:oMath>
      <w:r>
        <w:t xml:space="preserve">, and the same holds for the Monte-Carlo estimator with shared draws.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Proof of Corollary </w:t>
      </w:r>
      <w:hyperlink w:anchor="cor:zero">
        <w:r>
          <w:rPr>
            <w:rStyle w:val="Hyperlink"/>
            <w:bCs/>
            <w:b/>
          </w:rPr>
          <w:t xml:space="preserve">2</w:t>
        </w:r>
      </w:hyperlink>
      <w:r>
        <w:rPr>
          <w:bCs/>
          <w:b/>
        </w:rPr>
        <w:t xml:space="preserve">.</w:t>
      </w:r>
      <w:r>
        <w:t xml:space="preserve"> </w:t>
      </w:r>
      <w:r>
        <w:t xml:space="preserve">The induction in the text shows that</w:t>
      </w:r>
      <w:r>
        <w:t xml:space="preserve"> </w:t>
      </w:r>
      <m:oMath>
        <m:sSub>
          <m:e>
            <m:r>
              <m:t>τ</m:t>
            </m:r>
          </m:e>
          <m:sub>
            <m:r>
              <m:t>j</m:t>
            </m:r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requires a directed path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length at most</w:t>
      </w:r>
      <w:r>
        <w:t xml:space="preserve"> </w:t>
      </w:r>
      <m:oMath>
        <m:r>
          <m:t>t</m:t>
        </m:r>
      </m:oMath>
      <w:r>
        <w:t xml:space="preserve">. Without such a path,</w:t>
      </w:r>
      <w:r>
        <w:t xml:space="preserve"> </w:t>
      </w:r>
      <m:oMath>
        <m:sSub>
          <m:e>
            <m:r>
              <m:t>τ</m:t>
            </m:r>
          </m:e>
          <m:sub>
            <m:r>
              <m:t>j</m:t>
            </m:r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the window and Corollary </w:t>
      </w:r>
      <w:hyperlink w:anchor="cor:pure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Δ</m:t>
        </m:r>
        <m:sSub>
          <m:e>
            <m:r>
              <m:rPr>
                <m:nor/>
                <m:sty m:val="p"/>
              </m:rPr>
              <m:t>OC-CoVaR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j</m:t>
            </m:r>
            <m:r>
              <m:t> </m:t>
            </m:r>
            <m:r>
              <m:rPr>
                <m:sty m:val="p"/>
              </m:rPr>
              <m:t>|</m:t>
            </m:r>
            <m:r>
              <m:t> </m:t>
            </m:r>
            <m:r>
              <m:t>i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For the attribution,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in Proposition </w:t>
      </w:r>
      <w:hyperlink w:anchor="prop:B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w:hyperlink w:anchor="eq:cfhinge">
        <w:r>
          <w:rPr>
            <w:rStyle w:val="Hyperlink"/>
          </w:rPr>
          <w:t xml:space="preserve">[eq:cfhinge]</w:t>
        </w:r>
      </w:hyperlink>
      <w:r>
        <w:t xml:space="preserve"> </w:t>
      </w:r>
      <w:r>
        <w:t xml:space="preserve">gives</w:t>
      </w:r>
      <w:r>
        <w:t xml:space="preserve"> </w:t>
      </w:r>
      <m:oMath>
        <m:sSubSup>
          <m:e>
            <m:r>
              <m:t>Δ</m:t>
            </m:r>
          </m:e>
          <m:sub>
            <m:r>
              <m:t>i</m:t>
            </m:r>
          </m:sub>
          <m:sup>
            <m:r>
              <m:t>C</m:t>
            </m:r>
            <m:r>
              <m:t>F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j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Proof of Corollary </w:t>
      </w:r>
      <w:hyperlink w:anchor="cor:bound">
        <w:r>
          <w:rPr>
            <w:rStyle w:val="Hyperlink"/>
            <w:bCs/>
            <w:b/>
          </w:rPr>
          <w:t xml:space="preserve">3</w:t>
        </w:r>
      </w:hyperlink>
      <w:r>
        <w:rPr>
          <w:bCs/>
          <w:b/>
        </w:rPr>
        <w:t xml:space="preserve">.</w:t>
      </w:r>
      <w:r>
        <w:t xml:space="preserve"> </w:t>
      </w:r>
      <w:r>
        <w:t xml:space="preserve">(i) The upper bound in Proposition </w:t>
      </w:r>
      <w:hyperlink w:anchor="prop:A">
        <w:r>
          <w:rPr>
            <w:rStyle w:val="Hyperlink"/>
          </w:rPr>
          <w:t xml:space="preserve">2</w:t>
        </w:r>
      </w:hyperlink>
      <w:r>
        <w:t xml:space="preserve">(b) is non-negative 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sSub>
              <m:e>
                <m:r>
                  <m:rPr>
                    <m:nor/>
                    <m:sty m:val="p"/>
                  </m:rPr>
                  <m:t>OC-CoVaR</m:t>
                </m:r>
              </m:e>
              <m:sub>
                <m:r>
                  <m:t>q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j</m:t>
                </m:r>
                <m:r>
                  <m:rPr>
                    <m:sty m:val="p"/>
                  </m:rPr>
                  <m:t>|</m:t>
                </m:r>
                <m:r>
                  <m:t>i</m:t>
                </m:r>
              </m:e>
            </m:d>
            <m:r>
              <m:rPr>
                <m:sty m:val="p"/>
              </m:rPr>
              <m:t>,</m:t>
            </m:r>
            <m:r>
              <m:t>0</m:t>
            </m:r>
          </m:e>
        </m:d>
        <m:r>
          <m:rPr>
            <m:sty m:val="p"/>
          </m:rPr>
          <m:t>≤</m:t>
        </m:r>
        <m:r>
          <m:t>s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max</m:t>
            </m:r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τ</m:t>
                </m:r>
              </m:e>
              <m:sub>
                <m:r>
                  <m:t>j</m:t>
                </m:r>
                <m:r>
                  <m:t>i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Summing over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  <m:r>
          <m:rPr>
            <m:sty m:val="p"/>
          </m:rPr>
          <m:t>≤</m:t>
        </m:r>
        <m:r>
          <m:t>s</m:t>
        </m:r>
        <m:sSub>
          <m:e>
            <m:r>
              <m:t>Λ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(ii)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τ</m:t>
            </m:r>
          </m:e>
          <m:sub>
            <m:r>
              <m:rPr>
                <m:sty m:val="p"/>
              </m:rPr>
              <m:t>⋅</m:t>
            </m:r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restricted to</w:t>
      </w:r>
      <w:r>
        <w:t xml:space="preserve"> </w:t>
      </w:r>
      <m:oMath>
        <m:r>
          <m:t>V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}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′</m:t>
        </m:r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</m:oMath>
      <w:r>
        <w:t xml:space="preserve">, with</w:t>
      </w:r>
      <w:r>
        <w:t xml:space="preserve"> </w:t>
      </w:r>
      <m:oMath>
        <m:r>
          <m:t>A</m:t>
        </m:r>
        <m:r>
          <m:rPr>
            <m:sty m:val="p"/>
          </m:rPr>
          <m:t>′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, we have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m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′</m:t>
            </m:r>
          </m:e>
          <m:sup>
            <m:r>
              <m:t>t</m:t>
            </m:r>
          </m:sup>
        </m:sSup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m</m:t>
            </m:r>
          </m:e>
        </m:d>
        <m:r>
          <m:rPr>
            <m:sty m:val="p"/>
          </m:rPr>
          <m:t>→</m:t>
        </m:r>
        <m:r>
          <m:t>0</m:t>
        </m:r>
      </m:oMath>
      <w:r>
        <w:t xml:space="preserve">. The Cesàro mean of the</w:t>
      </w:r>
      <w:r>
        <w:t xml:space="preserve"> </w:t>
      </w:r>
      <w:r>
        <w:t xml:space="preserve">convergent sequence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 </w:t>
      </w:r>
      <w:r>
        <w:t xml:space="preserve">converges to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, which gives the limit of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/</m:t>
        </m:r>
        <m:r>
          <m:t>T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Proof of Proposition </w:t>
      </w:r>
      <w:hyperlink w:anchor="prop:B">
        <w:r>
          <w:rPr>
            <w:rStyle w:val="Hyperlink"/>
            <w:bCs/>
            <w:b/>
          </w:rPr>
          <w:t xml:space="preserve">3</w:t>
        </w:r>
      </w:hyperlink>
      <w:r>
        <w:rPr>
          <w:bCs/>
          <w:b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K</m:t>
            </m:r>
          </m:sup>
        </m:sSup>
        <m:r>
          <m:rPr>
            <m:sty m:val="p"/>
          </m:rPr>
          <m:t>−</m:t>
        </m:r>
        <m:sSup>
          <m:e>
            <m:r>
              <m:t>S</m:t>
            </m:r>
          </m:e>
          <m:sup>
            <m:r>
              <m:rPr>
                <m:sty m:val="p"/>
              </m:rPr>
              <m:t>f</m:t>
            </m:r>
          </m:sup>
        </m:sSup>
      </m:oMath>
      <w:r>
        <w:t xml:space="preserve">. Both paths</w:t>
      </w:r>
      <w:r>
        <w:t xml:space="preserve"> </w:t>
      </w:r>
      <w:r>
        <w:t xml:space="preserve">share the inputs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and the initial state,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 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Sup>
          <m:e>
            <m:r>
              <m:t>S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rPr>
                <m:sty m:val="p"/>
              </m:rPr>
              <m:t>f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. For</w:t>
      </w:r>
      <w:r>
        <w:t xml:space="preserve"> </w:t>
      </w:r>
      <m:oMath>
        <m:r>
          <m:t>j</m:t>
        </m:r>
        <m:r>
          <m:rPr>
            <m:sty m:val="p"/>
          </m:rPr>
          <m:t>∉</m:t>
        </m:r>
        <m:r>
          <m:t>K</m:t>
        </m:r>
      </m:oMath>
      <w:r>
        <w:t xml:space="preserve">, both paths satisfy</w:t>
      </w:r>
      <w:r>
        <w:t xml:space="preserve"> </w:t>
      </w:r>
      <w:hyperlink w:anchor="eq:linear">
        <w:r>
          <w:rPr>
            <w:rStyle w:val="Hyperlink"/>
          </w:rPr>
          <w:t xml:space="preserve">[eq:linear]</w:t>
        </w:r>
      </w:hyperlink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p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p</m:t>
                </m:r>
              </m:sub>
            </m:sSub>
          </m:e>
        </m:nary>
        <m:sSub>
          <m:e>
            <m:r>
              <m:t>D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Induction 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</m:oMath>
      <w:r>
        <w:t xml:space="preserve">, 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satisfies the same recursion with the same forcing. Hence</w:t>
      </w:r>
      <w:r>
        <w:t xml:space="preserve"> </w:t>
      </w:r>
      <m:oMath>
        <m:sSup>
          <m:e>
            <m:r>
              <m:t>S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rPr>
                <m:sty m:val="p"/>
              </m:rPr>
              <m:t>f</m:t>
            </m:r>
          </m:sup>
        </m:sSup>
        <m:r>
          <m:rPr>
            <m:sty m:val="p"/>
          </m:rPr>
          <m:t>−</m:t>
        </m:r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≡</m:t>
        </m:r>
        <m:sSubSup>
          <m:e>
            <m:r>
              <m:t>S</m:t>
            </m:r>
          </m:e>
          <m:sub>
            <m:r>
              <m:t>i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p>
        </m:sSubSup>
      </m:oMath>
      <w:r>
        <w:t xml:space="preserve"> </w:t>
      </w:r>
      <w:r>
        <w:t xml:space="preserve">gives</w:t>
      </w:r>
      <w:r>
        <w:t xml:space="preserve"> </w:t>
      </w:r>
      <m:oMath>
        <m:sSubSup>
          <m:e>
            <m:r>
              <m:t>L</m:t>
            </m:r>
          </m:e>
          <m:sub>
            <m:r>
              <m:t>j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max</m:t>
            </m:r>
          </m:e>
        </m:nary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S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  <m:sup>
                <m:r>
                  <m:rPr>
                    <m:sty m:val="p"/>
                  </m:rPr>
                  <m:t>f</m:t>
                </m:r>
              </m:sup>
            </m:sSubSup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{</m:t>
                </m:r>
                <m:r>
                  <m:t>i</m:t>
                </m:r>
                <m:r>
                  <m:rPr>
                    <m:sty m:val="p"/>
                  </m:rPr>
                  <m:t>}</m:t>
                </m:r>
              </m:e>
            </m:d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:cfhinge">
        <w:r>
          <w:rPr>
            <w:rStyle w:val="Hyperlink"/>
          </w:rPr>
          <w:t xml:space="preserve">[eq:cfhinge]</w:t>
        </w:r>
      </w:hyperlink>
      <w:r>
        <w:t xml:space="preserve"> </w:t>
      </w:r>
      <w:r>
        <w:t xml:space="preserve">follows from</w:t>
      </w:r>
      <w:r>
        <w:t xml:space="preserve"> </w:t>
      </w:r>
      <m:oMath>
        <m:sSubSup>
          <m:e>
            <m:r>
              <m:t>Δ</m:t>
            </m:r>
          </m:e>
          <m:sub>
            <m:r>
              <m:t>i</m:t>
            </m:r>
          </m:sub>
          <m:sup>
            <m:r>
              <m:t>C</m:t>
            </m:r>
            <m:r>
              <m:t>F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j</m:t>
            </m:r>
          </m:e>
        </m:d>
        <m:r>
          <m:rPr>
            <m:sty m:val="p"/>
          </m:rPr>
          <m:t>=</m:t>
        </m:r>
        <m:sSubSup>
          <m:e>
            <m:r>
              <m:t>L</m:t>
            </m:r>
          </m:e>
          <m:sub>
            <m:r>
              <m:t>j</m:t>
            </m:r>
          </m:sub>
          <m:sup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p>
        </m:sSubSup>
        <m:r>
          <m:rPr>
            <m:sty m:val="p"/>
          </m:rPr>
          <m:t>−</m:t>
        </m:r>
        <m:sSubSup>
          <m:e>
            <m:r>
              <m:t>L</m:t>
            </m:r>
          </m:e>
          <m:sub>
            <m:r>
              <m:t>j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</m:sup>
        </m:sSubSup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Proof of Proposition </w:t>
      </w:r>
      <w:hyperlink w:anchor="prop:C">
        <w:r>
          <w:rPr>
            <w:rStyle w:val="Hyperlink"/>
            <w:bCs/>
            <w:b/>
          </w:rPr>
          <w:t xml:space="preserve">4</w:t>
        </w:r>
      </w:hyperlink>
      <w:r>
        <w:rPr>
          <w:bCs/>
          <w:b/>
        </w:rPr>
        <w:t xml:space="preserve">.</w:t>
      </w:r>
      <w:r>
        <w:t xml:space="preserve"> </w:t>
      </w:r>
      <w:r>
        <w:t xml:space="preserve">(a) Unrolling the recursion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backwards from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, a node 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stops the recursion as a forcing term and a node outside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 it to its parents. Hence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t xml:space="preserve"> </w:t>
      </w:r>
      <w:r>
        <w:t xml:space="preserve">is the sum of</w:t>
      </w:r>
      <w:r>
        <w:t xml:space="preserve"> </w:t>
      </w:r>
      <m:oMath>
        <m:r>
          <m:t>ω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over walks from a forced node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whose intermediate nodes avoid</w:t>
      </w:r>
      <w:r>
        <w:t xml:space="preserve"> </w:t>
      </w:r>
      <m:oMath>
        <m:r>
          <m:t>K</m:t>
        </m:r>
      </m:oMath>
      <w:r>
        <w:t xml:space="preserve">, which is the indicator in (a). Walks that revisit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among their intermediates and are excluded by the same condition, so restricting to</w:t>
      </w:r>
      <w:r>
        <w:t xml:space="preserve"> </w:t>
      </w:r>
      <m:oMath>
        <m:r>
          <m:rPr>
            <m:sty m:val="p"/>
            <m:scr m:val="script"/>
          </m:rPr>
          <m:t>W</m:t>
        </m:r>
      </m:oMath>
      <w:r>
        <w:t xml:space="preserve"> </w:t>
      </w:r>
      <w:r>
        <w:t xml:space="preserve">changes nothing.</w:t>
      </w:r>
    </w:p>
    <w:p>
      <w:pPr>
        <w:pStyle w:val="BodyText"/>
      </w:pPr>
      <w:r>
        <w:t xml:space="preserve">(b) By linearity it suffices to treat</w:t>
      </w:r>
      <w:r>
        <w:t xml:space="preserve"> </w:t>
      </w:r>
      <m:oMath>
        <m:sSub>
          <m:e>
            <m:r>
              <m:t>u</m:t>
            </m:r>
          </m:e>
          <m:sub>
            <m:r>
              <m:t>w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sty m:val="b"/>
          </m:rPr>
          <m:t>1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∈</m:t>
            </m:r>
            <m:r>
              <m:t>K</m:t>
            </m:r>
            <m:r>
              <m:rPr>
                <m:sty m:val="p"/>
              </m:rPr>
              <m:t>,</m:t>
            </m:r>
            <m:r>
              <m:t> </m:t>
            </m:r>
            <m:r>
              <m:t>I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w</m:t>
                </m:r>
              </m:e>
            </m:d>
            <m:r>
              <m:rPr>
                <m:sty m:val="p"/>
              </m:rPr>
              <m:t>∩</m:t>
            </m:r>
            <m: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∅</m:t>
            </m:r>
          </m:e>
        </m:d>
      </m:oMath>
      <w:r>
        <w:t xml:space="preserve">. 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I</m:t>
            </m:r>
          </m:e>
        </m:d>
      </m:oMath>
      <w:r>
        <w:t xml:space="preserve">, 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be the players preceding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 uniformly</w:t>
      </w:r>
      <w:r>
        <w:t xml:space="preserve"> </w:t>
      </w:r>
      <w:r>
        <w:t xml:space="preserve">random ordering; the Shapley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 expected marginal contribution. 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marginal is</w:t>
      </w:r>
      <w:r>
        <w:t xml:space="preserve"> </w:t>
      </w:r>
      <m:oMath>
        <m:r>
          <m:rPr>
            <m:sty m:val="b"/>
          </m:rPr>
          <m:t>1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∩</m:t>
            </m:r>
            <m:r>
              <m:t>I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∅</m:t>
            </m:r>
          </m:e>
        </m:d>
      </m:oMath>
      <w:r>
        <w:t xml:space="preserve">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precedes all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the marginal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"/>
          </m:rPr>
          <m:t>1</m:t>
        </m:r>
        <m:d>
          <m:dPr>
            <m:begChr m:val="["/>
            <m:endChr m:val="]"/>
            <m:sepChr m:val=""/>
            <m:grow/>
          </m:dPr>
          <m:e>
            <m:r>
              <m:t>k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∩</m:t>
            </m:r>
            <m:r>
              <m:t>I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∅</m:t>
            </m:r>
          </m:e>
        </m:d>
      </m:oMath>
      <w:r>
        <w:t xml:space="preserve">.</w:t>
      </w:r>
      <w:r>
        <w:t xml:space="preserve"> </w:t>
      </w:r>
      <w:r>
        <w:t xml:space="preserve">This requires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be first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second among</w:t>
      </w:r>
      <w:r>
        <w:t xml:space="preserve"> </w:t>
      </w:r>
      <m:oMath>
        <m:r>
          <m:rPr>
            <m:sty m:val="p"/>
          </m:rPr>
          <m:t>{</m:t>
        </m:r>
        <m:r>
          <m:t>k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t>I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m</m:t>
            </m:r>
          </m:e>
        </m:d>
      </m:oMath>
      <w:r>
        <w:t xml:space="preserve">. For any other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game does not depend on</w:t>
      </w:r>
      <w:r>
        <w:t xml:space="preserve"> </w:t>
      </w:r>
      <m:oMath>
        <m:r>
          <m:t>y</m:t>
        </m:r>
      </m:oMath>
      <w:r>
        <w:t xml:space="preserve">. This gives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u</m:t>
                </m:r>
              </m:e>
              <m:sub>
                <m:r>
                  <m:t>w</m:t>
                </m:r>
              </m:sub>
            </m:sSub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m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t>ϕ</m:t>
            </m:r>
          </m:e>
          <m:sub>
            <m:r>
              <m:t>y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u</m:t>
                </m:r>
              </m:e>
              <m:sub>
                <m:r>
                  <m:t>w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I</m:t>
        </m:r>
      </m:oMath>
      <w:r>
        <w:t xml:space="preserve">, and zero otherwise. Summing</w:t>
      </w:r>
      <w:r>
        <w:t xml:space="preserve"> </w:t>
      </w:r>
      <w:r>
        <w:t xml:space="preserve">over walks with the weights</w:t>
      </w:r>
      <w:r>
        <w:t xml:space="preserve"> </w:t>
      </w:r>
      <m:oMath>
        <m:r>
          <m:t>ω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gives</w:t>
      </w:r>
      <w:r>
        <w:t xml:space="preserve"> </w:t>
      </w:r>
      <w:hyperlink w:anchor="eq:phi">
        <w:r>
          <w:rPr>
            <w:rStyle w:val="Hyperlink"/>
          </w:rPr>
          <w:t xml:space="preserve">[eq:phi]</w:t>
        </w:r>
      </w:hyperlink>
      <w:r>
        <w:t xml:space="preserve">.</w:t>
      </w:r>
    </w:p>
    <w:p>
      <w:pPr>
        <w:pStyle w:val="BodyText"/>
      </w:pPr>
      <w:r>
        <w:t xml:space="preserve">(c) Summing</w:t>
      </w:r>
      <w:r>
        <w:t xml:space="preserve"> </w:t>
      </w:r>
      <w:hyperlink w:anchor="eq:phi">
        <w:r>
          <w:rPr>
            <w:rStyle w:val="Hyperlink"/>
          </w:rPr>
          <w:t xml:space="preserve">[eq:phi]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ω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d>
          <m:dPr>
            <m:begChr m:val="["/>
            <m:endChr m:val="]"/>
            <m:sepChr m:val="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, which matches (a)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P</m:t>
        </m:r>
      </m:oMath>
      <w:r>
        <w:t xml:space="preserve">.</w:t>
      </w:r>
    </w:p>
    <w:p>
      <w:pPr>
        <w:pStyle w:val="BodyText"/>
      </w:pPr>
      <w:r>
        <w:t xml:space="preserve">(d) If</w:t>
      </w:r>
      <w:r>
        <w:t xml:space="preserve"> </w:t>
      </w:r>
      <m:oMath>
        <m:sSubSup>
          <m:e>
            <m:r>
              <m:t>S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rPr>
                <m:sty m:val="p"/>
              </m:rPr>
              <m:t>f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  <m:sup>
            <m:r>
              <m:rPr>
                <m:sty m:val="p"/>
              </m:rPr>
              <m:t>f</m:t>
            </m:r>
          </m:sup>
        </m:sSubSup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, then both hinge terms are linear, so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bookmarkStart w:id="76" w:name="lem:radius"/>
    <w:p>
      <w:pPr>
        <w:pStyle w:val="BodyText"/>
      </w:pPr>
      <w:r>
        <w:rPr>
          <w:bCs/>
          <w:b/>
        </w:rPr>
        <w:t xml:space="preserve">Lemma 1</w:t>
      </w:r>
      <w:r>
        <w:t xml:space="preserve"> </w:t>
      </w:r>
      <w:r>
        <w:t xml:space="preserve">(Certified ranking radius).</w:t>
      </w:r>
      <w:r>
        <w:t xml:space="preserve"> </w:t>
      </w:r>
      <w:r>
        <w:t xml:space="preserve"> </w:t>
      </w:r>
      <w:r>
        <w:rPr>
          <w:iCs/>
          <w:i/>
        </w:rPr>
        <w:t xml:space="preserve">Let</w:t>
      </w:r>
      <w:r>
        <w:rPr>
          <w:iCs/>
          <w:i/>
        </w:rP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rPr>
          <w:iCs/>
          <w:i/>
        </w:rPr>
        <w:t xml:space="preserve"> </w:t>
      </w:r>
      <w:r>
        <w:rPr>
          <w:iCs/>
          <w:i/>
        </w:rPr>
        <w:t xml:space="preserve">satisfy</w:t>
      </w:r>
      <w:r>
        <w:rPr>
          <w:iCs/>
          <w:i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j</m:t>
                </m:r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≤</m:t>
        </m:r>
        <m:r>
          <m:t>ε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p</m:t>
                </m:r>
              </m:sub>
            </m:sSub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with the same sparsity</w:t>
      </w:r>
      <w:r>
        <w:rPr>
          <w:iCs/>
          <w:i/>
        </w:rPr>
        <w:t xml:space="preserve"> </w:t>
      </w:r>
      <w:r>
        <w:rPr>
          <w:iCs/>
          <w:i/>
        </w:rPr>
        <w:t xml:space="preserve">pattern, and let</w:t>
      </w:r>
      <w:r>
        <w:rPr>
          <w:iCs/>
          <w:i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b>
            <m:r>
              <m:t>i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be</w:t>
      </w:r>
      <w:r>
        <w:rPr>
          <w:iCs/>
          <w:i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computed from</w:t>
      </w:r>
      <w:r>
        <w:rPr>
          <w:iCs/>
          <w:i/>
        </w:rP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rPr>
          <w:iCs/>
          <w:i/>
        </w:rPr>
        <w:t xml:space="preserve">. Then</w:t>
      </w:r>
      <w:r>
        <w:rPr>
          <w:iCs/>
          <w:i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e>
        </m:d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ε</m:t>
            </m:r>
          </m:e>
        </m:d>
      </m:oMath>
      <w:r>
        <w:rPr>
          <w:iCs/>
          <w:i/>
        </w:rPr>
        <w:t xml:space="preserve">, where</w:t>
      </w:r>
      <w:r>
        <w:rPr>
          <w:iCs/>
          <w:i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ε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≠</m:t>
            </m:r>
            <m:r>
              <m:t>i</m:t>
            </m:r>
          </m:sub>
          <m:sup>
            <m:r>
              <m:t>​</m:t>
            </m:r>
          </m:sup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t</m:t>
                </m:r>
                <m:r>
                  <m:rPr>
                    <m:sty m:val="p"/>
                  </m:rPr>
                  <m:t>&lt;</m:t>
                </m:r>
                <m:r>
                  <m:t>T</m:t>
                </m:r>
              </m:sub>
              <m:sup>
                <m:r>
                  <m:t>​</m:t>
                </m:r>
              </m:sup>
              <m:e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Sup>
                      <m:e>
                        <m:r>
                          <m:t>τ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ε</m:t>
                            </m:r>
                          </m:e>
                        </m:d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sup>
                    </m:sSub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τ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  <m:sup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sup>
                    </m:sSub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</m:e>
                </m:d>
              </m:e>
            </m:nary>
          </m:e>
        </m:nary>
      </m:oMath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iCs/>
          <w:i/>
        </w:rPr>
        <w:t xml:space="preserve">If</w:t>
      </w:r>
      <w:r>
        <w:rPr>
          <w:iCs/>
          <w:i/>
        </w:rPr>
        <w:t xml:space="preserve"> </w:t>
      </w:r>
      <m:oMath>
        <m:sSub>
          <m:e>
            <m:r>
              <m:t>Λ</m:t>
            </m:r>
          </m:e>
          <m:sub>
            <m:r>
              <m:t>r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R</m:t>
            </m:r>
          </m:e>
          <m:sub>
            <m:r>
              <m:t>r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ε</m:t>
            </m:r>
          </m:e>
        </m:d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ε</m:t>
            </m:r>
          </m:e>
        </m:d>
      </m:oMath>
      <w:r>
        <w:rPr>
          <w:iCs/>
          <w:i/>
        </w:rPr>
        <w:t xml:space="preserve">, the order of the pair is</w:t>
      </w:r>
      <w:r>
        <w:rPr>
          <w:iCs/>
          <w:i/>
        </w:rPr>
        <w:t xml:space="preserve"> </w:t>
      </w:r>
      <w:r>
        <w:rPr>
          <w:iCs/>
          <w:i/>
        </w:rPr>
        <w:t xml:space="preserve">preserved under every such perturbation.</w:t>
      </w:r>
    </w:p>
    <w:bookmarkEnd w:id="76"/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m:oMath>
        <m:sSub>
          <m:e>
            <m:r>
              <m:t>τ</m:t>
            </m:r>
          </m:e>
          <m:sub>
            <m:r>
              <m:t>j</m:t>
            </m:r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is a sum over walks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length at most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avoiding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between. The telescoping bound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∏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p"/>
              </m:rPr>
              <m:t>∏</m:t>
            </m:r>
            <m:sSub>
              <m:e>
                <m:r>
                  <m:t>a</m:t>
                </m:r>
              </m:e>
              <m:sub>
                <m:r>
                  <m:t>e</m:t>
                </m:r>
              </m:sub>
            </m:sSub>
          </m:e>
        </m:d>
        <m:r>
          <m:rPr>
            <m:sty m:val="p"/>
          </m:rPr>
          <m:t>≤</m:t>
        </m:r>
        <m:r>
          <m:rPr>
            <m:sty m:val="p"/>
          </m:rPr>
          <m:t>∏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ε</m:t>
            </m:r>
          </m:e>
        </m:d>
        <m:d>
          <m:dPr>
            <m:begChr m:val="|"/>
            <m:endChr m:val="|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e</m:t>
                </m:r>
              </m:sub>
            </m:sSub>
          </m:e>
        </m:d>
        <m:r>
          <m:rPr>
            <m:sty m:val="p"/>
          </m:rPr>
          <m:t>−</m:t>
        </m:r>
        <m:r>
          <m:rPr>
            <m:sty m:val="p"/>
          </m:rPr>
          <m:t>∏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e</m:t>
                </m:r>
              </m:sub>
            </m:sSub>
          </m:e>
        </m:d>
      </m:oMath>
      <w:r>
        <w:t xml:space="preserve"> </w:t>
      </w:r>
      <w:r>
        <w:t xml:space="preserve">gives the entrywise bound,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1-Lipschitz. ◻</w:t>
      </w:r>
    </w:p>
    <w:bookmarkEnd w:id="77"/>
    <w:bookmarkStart w:id="78" w:name="app:bounds"/>
    <w:p>
      <w:pPr>
        <w:pStyle w:val="Heading1"/>
      </w:pPr>
      <w:r>
        <w:t xml:space="preserve">Daily analytic checks and bounds</w:t>
      </w:r>
    </w:p>
    <w:p>
      <w:pPr>
        <w:pStyle w:val="FirstParagraph"/>
      </w:pPr>
      <w:r>
        <w:t xml:space="preserve">The numbers come from</w:t>
      </w:r>
      <w:r>
        <w:t xml:space="preserve"> </w:t>
      </w:r>
      <w:r>
        <w:rPr>
          <w:rStyle w:val="VerbatimChar"/>
        </w:rPr>
        <w:t xml:space="preserve">results/analytics.json</w:t>
      </w:r>
      <w:r>
        <w:t xml:space="preserve">, which uses the daily SCM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 15 entities; the</w:t>
      </w:r>
      <w:r>
        <w:t xml:space="preserve"> </w:t>
      </w:r>
      <w:r>
        <w:t xml:space="preserve">spectral radius is</w:t>
      </w:r>
      <w:r>
        <w:t xml:space="preserve"> </w:t>
      </w:r>
      <m:oMath>
        <m:r>
          <m:t>ρ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0.569</m:t>
        </m:r>
      </m:oMath>
      <w:r>
        <w:t xml:space="preserve">.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per unit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(Corollary </w:t>
      </w:r>
      <w:hyperlink w:anchor="cor:bound">
        <w:r>
          <w:rPr>
            <w:rStyle w:val="Hyperlink"/>
          </w:rPr>
          <w:t xml:space="preserve">3</w:t>
        </w:r>
      </w:hyperlink>
      <w:r>
        <w:t xml:space="preserve">), so the stored</w:t>
      </w:r>
      <w:r>
        <w:t xml:space="preserve"> </w:t>
      </w:r>
      <w:r>
        <w:t xml:space="preserve">exported risk must satisfy</w:t>
      </w:r>
      <w:r>
        <w:t xml:space="preserve"> </w:t>
      </w:r>
      <m:oMath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 and the implied minimum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  <m:scr m:val="script"/>
          </m:rPr>
          <m:t>E</m:t>
        </m:r>
        <m:r>
          <m:rPr>
            <m:sty m:val="p"/>
          </m:rPr>
          <m:t>/</m:t>
        </m:r>
        <m:sSup>
          <m:e>
            <m: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 The</w:t>
      </w:r>
      <w:r>
        <w:t xml:space="preserve"> </w:t>
      </w:r>
      <w:r>
        <w:t xml:space="preserve">infinite-horizon multiplier is a reference quantity, not a bound. These checks were not</w:t>
      </w:r>
      <w:r>
        <w:t xml:space="preserve"> </w:t>
      </w:r>
      <w:r>
        <w:t xml:space="preserve">run on the hourly coefficients, which are archived in</w:t>
      </w:r>
      <w:r>
        <w:t xml:space="preserve"> </w:t>
      </w:r>
      <w:r>
        <w:rPr>
          <w:rStyle w:val="VerbatimChar"/>
        </w:rPr>
        <w:t xml:space="preserve">hourly_scm_export.json</w:t>
      </w:r>
      <w:r>
        <w:t xml:space="preserve">.</w:t>
      </w:r>
    </w:p>
    <w:p>
      <w:pPr>
        <w:pStyle w:val="BodyText"/>
      </w:pPr>
      <w:r>
        <w:t xml:space="preserve">There are 0 violations of the bound. 5 entities have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stored</w:t>
      </w:r>
      <w:r>
        <w:t xml:space="preserve"> </w:t>
      </w:r>
      <m:oMath>
        <m:r>
          <m:rPr>
            <m:sty m:val="p"/>
            <m:scr m:val="script"/>
          </m:rPr>
          <m:t>E</m:t>
        </m:r>
        <m:r>
          <m:rPr>
            <m:sty m:val="p"/>
          </m:rPr>
          <m:t>=</m:t>
        </m:r>
        <m:r>
          <m:t>0</m:t>
        </m:r>
      </m:oMath>
      <w:r>
        <w:t xml:space="preserve">; the bound is vacuous for them</w:t>
      </w:r>
      <w:r>
        <w:t xml:space="preserve"> </w:t>
      </w:r>
      <w:r>
        <w:t xml:space="preserve">because their coefficients are all zero. This is a one-directional sanity check, not out-of-sample validation. Table </w:t>
      </w:r>
      <w:hyperlink w:anchor="tab:bounds">
        <w:r>
          <w:rPr>
            <w:rStyle w:val="Hyperlink"/>
          </w:rPr>
          <w:t xml:space="preserve">[tab:bounds]</w:t>
        </w:r>
      </w:hyperlink>
      <w:r>
        <w:t xml:space="preserve"> </w:t>
      </w:r>
      <w:r>
        <w:t xml:space="preserve">lists the bounded entities; the other 5 have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 Coefficients are archived to four decimals, so the implied minimum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values are approximate.</w:t>
      </w:r>
    </w:p>
    <w:p>
      <w:pPr>
        <w:pStyle w:val="BodyText"/>
      </w:pPr>
      <w:r>
        <w:t xml:space="preserve">The certified ranking radius (Lemma </w:t>
      </w:r>
      <w:hyperlink w:anchor="lem:radius">
        <w:r>
          <w:rPr>
            <w:rStyle w:val="Hyperlink"/>
          </w:rPr>
          <w:t xml:space="preserve">1</w:t>
        </w:r>
      </w:hyperlink>
      <w:r>
        <w:t xml:space="preserve">) applies to the ranking by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under relative coefficient</w:t>
      </w:r>
      <w:r>
        <w:t xml:space="preserve"> </w:t>
      </w:r>
      <w:r>
        <w:t xml:space="preserve">perturbations of size</w:t>
      </w:r>
      <w:r>
        <w:t xml:space="preserve"> </w:t>
      </w:r>
      <m:oMath>
        <m:r>
          <m:t>ε</m:t>
        </m:r>
      </m:oMath>
      <w:r>
        <w:t xml:space="preserve">. For the top five daily entities (retail, Aave, Lido, MakerSky and Copper), the certified radii</w:t>
      </w:r>
      <w:r>
        <w:t xml:space="preserve"> </w:t>
      </w:r>
      <w:r>
        <w:t xml:space="preserve">for consecutive pairs are 0.047, 0.064, 0.134 and 0.305, and no pair is certified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certificate does not cover the exported-risk ranking</w:t>
      </w:r>
      <w:r>
        <w:t xml:space="preserve"> </w:t>
      </w:r>
      <m:oMath>
        <m:r>
          <m:rPr>
            <m:sty m:val="p"/>
            <m:scr m:val="script"/>
          </m:rPr>
          <m:t>E</m:t>
        </m:r>
      </m:oMath>
      <w:r>
        <w:t xml:space="preserve">, flows, shocks,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or estimation error.</w:t>
      </w:r>
    </w:p>
    <w:p>
      <w:pPr>
        <w:pStyle w:val="BodyText"/>
      </w:pPr>
      <w:r>
        <w:t xml:space="preserve">The closed-form walk decomposition agrees with subset enumeration to within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 </w:t>
      </w:r>
      <w:r>
        <w:t xml:space="preserve">on a synthetic deviation path (seed</w:t>
      </w:r>
      <w:r>
        <w:t xml:space="preserve"> </w:t>
      </w:r>
      <w:r>
        <w:t xml:space="preserve">7), and the subset and permutation computations agree to the same precision. Subset enumeration needs 8</w:t>
      </w:r>
      <w:r>
        <w:t xml:space="preserve">,</w:t>
      </w:r>
      <w:r>
        <w:t xml:space="preserve">192 oracle calls</w:t>
      </w:r>
      <w:r>
        <w:t xml:space="preserve"> </w:t>
      </w:r>
      <w:r>
        <w:t xml:space="preserve">against 80</w:t>
      </w:r>
      <w:r>
        <w:t xml:space="preserve">,</w:t>
      </w:r>
      <w:r>
        <w:t xml:space="preserve">951</w:t>
      </w:r>
      <w:r>
        <w:t xml:space="preserve">,</w:t>
      </w:r>
      <w:r>
        <w:t xml:space="preserve">270</w:t>
      </w:r>
      <w:r>
        <w:t xml:space="preserve">,</w:t>
      </w:r>
      <w:r>
        <w:t xml:space="preserve">400 for permutations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</m:oMath>
      <w:r>
        <w:t xml:space="preserve">, the retail parent set. The exact subset computation for retail took 0.22 s on one machine.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Entity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Stored</w:t>
            </w:r>
            <w:r>
              <w:rPr>
                <w:bCs/>
                <w:b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E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per unit</w:t>
            </w:r>
            <w:r>
              <w:rPr>
                <w:bCs/>
                <w:b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Implied min. 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bCs/>
                <w:b/>
              </w:rPr>
              <w:t xml:space="preserve">-horizon multiplier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8.284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6.678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6.457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MakerSky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Bybit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Ceffu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FalconX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</w:t>
            </w:r>
          </w:p>
        </w:tc>
      </w:tr>
    </w:tbl>
    <w:p>
      <w:pPr>
        <w:pStyle w:val="BodyText"/>
      </w:pPr>
    </w:p>
    <w:bookmarkEnd w:id="78"/>
    <w:bookmarkStart w:id="146" w:name="refs"/>
    <w:bookmarkStart w:id="80" w:name="ref-acemoglu2015systemic"/>
    <w:p>
      <w:pPr>
        <w:pStyle w:val="Bibliography"/>
      </w:pPr>
      <w:r>
        <w:t xml:space="preserve">Acemoglu, Daron, Asuman Ozdaglar, and Alireza Tahbaz-Salehi. 2015.</w:t>
      </w:r>
      <w:r>
        <w:t xml:space="preserve"> </w:t>
      </w:r>
      <w:r>
        <w:t xml:space="preserve">“Systemic Risk and Stability in Financial Networks.”</w:t>
      </w:r>
      <w:r>
        <w:t xml:space="preserve"> </w:t>
      </w:r>
      <w:r>
        <w:rPr>
          <w:iCs/>
          <w:i/>
        </w:rPr>
        <w:t xml:space="preserve">American Economic Review</w:t>
      </w:r>
      <w:r>
        <w:t xml:space="preserve"> </w:t>
      </w:r>
      <w:r>
        <w:t xml:space="preserve">105 (2): 564–608.</w:t>
      </w:r>
      <w:r>
        <w:t xml:space="preserve"> </w:t>
      </w:r>
      <w:hyperlink r:id="rId79">
        <w:r>
          <w:rPr>
            <w:rStyle w:val="Hyperlink"/>
          </w:rPr>
          <w:t xml:space="preserve">https://doi.org/10.1257/aer.20130456</w:t>
        </w:r>
      </w:hyperlink>
      <w:r>
        <w:t xml:space="preserve">.</w:t>
      </w:r>
    </w:p>
    <w:bookmarkEnd w:id="80"/>
    <w:bookmarkStart w:id="82" w:name="ref-acharya2017measuring"/>
    <w:p>
      <w:pPr>
        <w:pStyle w:val="Bibliography"/>
      </w:pPr>
      <w:r>
        <w:t xml:space="preserve">Acharya, Viral V., Lasse Heje Pedersen, Thomas Philippon, and Matthew Richardson. 2017.</w:t>
      </w:r>
      <w:r>
        <w:t xml:space="preserve"> </w:t>
      </w:r>
      <w:r>
        <w:t xml:space="preserve">“Measuring Systemic Risk.”</w:t>
      </w:r>
      <w:r>
        <w:t xml:space="preserve"> </w:t>
      </w:r>
      <w:r>
        <w:rPr>
          <w:iCs/>
          <w:i/>
        </w:rPr>
        <w:t xml:space="preserve">The Review of Financial Studies</w:t>
      </w:r>
      <w:r>
        <w:t xml:space="preserve"> </w:t>
      </w:r>
      <w:r>
        <w:t xml:space="preserve">30 (1): 2–47.</w:t>
      </w:r>
      <w:r>
        <w:t xml:space="preserve"> </w:t>
      </w:r>
      <w:hyperlink r:id="rId81">
        <w:r>
          <w:rPr>
            <w:rStyle w:val="Hyperlink"/>
          </w:rPr>
          <w:t xml:space="preserve">https://doi.org/10.1093/rfs/hhw088</w:t>
        </w:r>
      </w:hyperlink>
      <w:r>
        <w:t xml:space="preserve">.</w:t>
      </w:r>
    </w:p>
    <w:bookmarkEnd w:id="82"/>
    <w:bookmarkStart w:id="84" w:name="ref-adrian2016covar"/>
    <w:p>
      <w:pPr>
        <w:pStyle w:val="Bibliography"/>
      </w:pPr>
      <w:r>
        <w:t xml:space="preserve">Adrian, Tobias, and Markus K. Brunnermeier. 2016.</w:t>
      </w:r>
      <w:r>
        <w:t xml:space="preserve"> </w:t>
      </w:r>
      <w:r>
        <w:t xml:space="preserve">“</w:t>
      </w:r>
      <w:r>
        <w:t xml:space="preserve">CoVaR</w:t>
      </w:r>
      <w:r>
        <w:t xml:space="preserve">.”</w:t>
      </w:r>
      <w:r>
        <w:t xml:space="preserve"> </w:t>
      </w:r>
      <w:r>
        <w:rPr>
          <w:iCs/>
          <w:i/>
        </w:rPr>
        <w:t xml:space="preserve">American Economic Review</w:t>
      </w:r>
      <w:r>
        <w:t xml:space="preserve"> </w:t>
      </w:r>
      <w:r>
        <w:t xml:space="preserve">106 (7): 1705–41.</w:t>
      </w:r>
      <w:r>
        <w:t xml:space="preserve"> </w:t>
      </w:r>
      <w:hyperlink r:id="rId83">
        <w:r>
          <w:rPr>
            <w:rStyle w:val="Hyperlink"/>
          </w:rPr>
          <w:t xml:space="preserve">https://doi.org/10.1257/aer.20120555</w:t>
        </w:r>
      </w:hyperlink>
      <w:r>
        <w:t xml:space="preserve">.</w:t>
      </w:r>
    </w:p>
    <w:bookmarkEnd w:id="84"/>
    <w:bookmarkStart w:id="86" w:name="ref-akcora2018bitcoin"/>
    <w:p>
      <w:pPr>
        <w:pStyle w:val="Bibliography"/>
      </w:pPr>
      <w:r>
        <w:t xml:space="preserve">Akcora, Cuneyt G., Matthew F. Dixon, Yulia R. Gel, and Murat Kantarcioglu. 2018.</w:t>
      </w:r>
      <w:r>
        <w:t xml:space="preserve"> </w:t>
      </w:r>
      <w:r>
        <w:t xml:space="preserve">“Bitcoin Risk Modeling with Blockchain Graphs.”</w:t>
      </w:r>
      <w:r>
        <w:t xml:space="preserve"> </w:t>
      </w:r>
      <w:r>
        <w:rPr>
          <w:iCs/>
          <w:i/>
        </w:rPr>
        <w:t xml:space="preserve">Economics Letters</w:t>
      </w:r>
      <w:r>
        <w:t xml:space="preserve"> </w:t>
      </w:r>
      <w:r>
        <w:t xml:space="preserve">173: 138–42.</w:t>
      </w:r>
      <w:r>
        <w:t xml:space="preserve"> </w:t>
      </w:r>
      <w:hyperlink r:id="rId85">
        <w:r>
          <w:rPr>
            <w:rStyle w:val="Hyperlink"/>
          </w:rPr>
          <w:t xml:space="preserve">https://doi.org/10.1016/j.econlet.2018.07.039</w:t>
        </w:r>
      </w:hyperlink>
      <w:r>
        <w:t xml:space="preserve">.</w:t>
      </w:r>
    </w:p>
    <w:bookmarkEnd w:id="86"/>
    <w:bookmarkStart w:id="87" w:name="ref-ali2025anatomy"/>
    <w:p>
      <w:pPr>
        <w:pStyle w:val="Bibliography"/>
      </w:pPr>
      <w:r>
        <w:t xml:space="preserve">Ali, Zeeshan. 2025.</w:t>
      </w:r>
      <w:r>
        <w:t xml:space="preserve"> </w:t>
      </w:r>
      <w:r>
        <w:t xml:space="preserve">“Anatomy of the</w:t>
      </w:r>
      <w:r>
        <w:t xml:space="preserve"> </w:t>
      </w:r>
      <w:r>
        <w:t xml:space="preserve">Oct</w:t>
      </w:r>
      <w:r>
        <w:t xml:space="preserve"> </w:t>
      </w:r>
      <w:r>
        <w:t xml:space="preserve">10–11, 2025 Crypto Liquidation Cascade: Macroeconomic Triggers, Market Microstructure, and Systemic Risk Lessons.”</w:t>
      </w:r>
      <w:r>
        <w:t xml:space="preserve"> </w:t>
      </w:r>
      <w:r>
        <w:t xml:space="preserve">SSRN Working Paper 5611392.</w:t>
      </w:r>
    </w:p>
    <w:bookmarkEnd w:id="87"/>
    <w:bookmarkStart w:id="88" w:name="ref-aufiero2025mapping"/>
    <w:p>
      <w:pPr>
        <w:pStyle w:val="Bibliography"/>
      </w:pPr>
      <w:r>
        <w:t xml:space="preserve">Aufiero, Sabrina, Silvia Bartolucci, Fabio Caccioli, and Pierpaolo Vivo. 2025.</w:t>
      </w:r>
      <w:r>
        <w:t xml:space="preserve"> </w:t>
      </w:r>
      <w:r>
        <w:t xml:space="preserve">“Mapping Microscopic and Systemic Risks in</w:t>
      </w:r>
      <w:r>
        <w:t xml:space="preserve"> </w:t>
      </w:r>
      <w:r>
        <w:t xml:space="preserve">TradFi</w:t>
      </w:r>
      <w:r>
        <w:t xml:space="preserve"> </w:t>
      </w:r>
      <w:r>
        <w:t xml:space="preserve">and</w:t>
      </w:r>
      <w:r>
        <w:t xml:space="preserve"> </w:t>
      </w:r>
      <w:r>
        <w:t xml:space="preserve">DeFi</w:t>
      </w:r>
      <w:r>
        <w:t xml:space="preserve">: A Literature Review.”</w:t>
      </w:r>
      <w:r>
        <w:t xml:space="preserve"> </w:t>
      </w:r>
      <w:r>
        <w:t xml:space="preserve">arXiv:2508.12007.</w:t>
      </w:r>
    </w:p>
    <w:bookmarkEnd w:id="88"/>
    <w:bookmarkStart w:id="90" w:name="ref-billio2012econometric"/>
    <w:p>
      <w:pPr>
        <w:pStyle w:val="Bibliography"/>
      </w:pPr>
      <w:r>
        <w:t xml:space="preserve">Billio, Monica, Mila Getmansky, Andrew W. Lo, and Loriana Pelizzon. 2012.</w:t>
      </w:r>
      <w:r>
        <w:t xml:space="preserve"> </w:t>
      </w:r>
      <w:r>
        <w:t xml:space="preserve">“Econometric Measures of Connectedness and Systemic Risk in the Finance and Insurance Sectors.”</w:t>
      </w:r>
      <w:r>
        <w:t xml:space="preserve"> </w:t>
      </w:r>
      <w:r>
        <w:rPr>
          <w:iCs/>
          <w:i/>
        </w:rPr>
        <w:t xml:space="preserve">Journal of Financial Economics</w:t>
      </w:r>
      <w:r>
        <w:t xml:space="preserve"> </w:t>
      </w:r>
      <w:r>
        <w:t xml:space="preserve">104 (3): 535–59.</w:t>
      </w:r>
      <w:r>
        <w:t xml:space="preserve"> </w:t>
      </w:r>
      <w:hyperlink r:id="rId89">
        <w:r>
          <w:rPr>
            <w:rStyle w:val="Hyperlink"/>
          </w:rPr>
          <w:t xml:space="preserve">https://doi.org/10.1016/j.jfineco.2011.12.010</w:t>
        </w:r>
      </w:hyperlink>
      <w:r>
        <w:t xml:space="preserve">.</w:t>
      </w:r>
    </w:p>
    <w:bookmarkEnd w:id="90"/>
    <w:bookmarkStart w:id="92" w:name="ref-campbell2008predicting"/>
    <w:p>
      <w:pPr>
        <w:pStyle w:val="Bibliography"/>
      </w:pPr>
      <w:r>
        <w:t xml:space="preserve">Campbell, John Y., and Samuel B. Thompson. 2008.</w:t>
      </w:r>
      <w:r>
        <w:t xml:space="preserve"> </w:t>
      </w:r>
      <w:r>
        <w:t xml:space="preserve">“Predicting Excess Stock Returns Out of Sample: Can Anything Beat the Historical Average?”</w:t>
      </w:r>
      <w:r>
        <w:t xml:space="preserve"> </w:t>
      </w:r>
      <w:r>
        <w:rPr>
          <w:iCs/>
          <w:i/>
        </w:rPr>
        <w:t xml:space="preserve">The Review of Financial Studies</w:t>
      </w:r>
      <w:r>
        <w:t xml:space="preserve"> </w:t>
      </w:r>
      <w:r>
        <w:t xml:space="preserve">21 (4): 1509–31.</w:t>
      </w:r>
      <w:r>
        <w:t xml:space="preserve"> </w:t>
      </w:r>
      <w:hyperlink r:id="rId91">
        <w:r>
          <w:rPr>
            <w:rStyle w:val="Hyperlink"/>
          </w:rPr>
          <w:t xml:space="preserve">https://doi.org/10.1093/rfs/hhm055</w:t>
        </w:r>
      </w:hyperlink>
      <w:r>
        <w:t xml:space="preserve">.</w:t>
      </w:r>
    </w:p>
    <w:bookmarkEnd w:id="92"/>
    <w:bookmarkStart w:id="94" w:name="ref-cinelli2020sensitivity"/>
    <w:p>
      <w:pPr>
        <w:pStyle w:val="Bibliography"/>
      </w:pPr>
      <w:r>
        <w:t xml:space="preserve">Cinelli, Carlos, and Chad Hazlett. 2020.</w:t>
      </w:r>
      <w:r>
        <w:t xml:space="preserve"> </w:t>
      </w:r>
      <w:r>
        <w:t xml:space="preserve">“Making Sense of Sensitivity: Extending Omitted Variable Bias.”</w:t>
      </w:r>
      <w:r>
        <w:t xml:space="preserve"> </w:t>
      </w:r>
      <w:r>
        <w:rPr>
          <w:iCs/>
          <w:i/>
        </w:rPr>
        <w:t xml:space="preserve">Journal of the Royal Statistical Society: Series B (Statistical Methodology)</w:t>
      </w:r>
      <w:r>
        <w:t xml:space="preserve"> </w:t>
      </w:r>
      <w:r>
        <w:t xml:space="preserve">82 (1): 39–67.</w:t>
      </w:r>
      <w:r>
        <w:t xml:space="preserve"> </w:t>
      </w:r>
      <w:hyperlink r:id="rId93">
        <w:r>
          <w:rPr>
            <w:rStyle w:val="Hyperlink"/>
          </w:rPr>
          <w:t xml:space="preserve">https://doi.org/10.1111/rssb.12348</w:t>
        </w:r>
      </w:hyperlink>
      <w:r>
        <w:t xml:space="preserve">.</w:t>
      </w:r>
    </w:p>
    <w:bookmarkEnd w:id="94"/>
    <w:bookmarkStart w:id="95" w:name="ref-colombo2014order"/>
    <w:p>
      <w:pPr>
        <w:pStyle w:val="Bibliography"/>
      </w:pPr>
      <w:r>
        <w:t xml:space="preserve">Colombo, Diego, and Marloes H. Maathuis. 2014.</w:t>
      </w:r>
      <w:r>
        <w:t xml:space="preserve"> </w:t>
      </w:r>
      <w:r>
        <w:t xml:space="preserve">“Order-Independent Constraint-Based Causal Structure Learning.”</w:t>
      </w:r>
      <w:r>
        <w:t xml:space="preserve"> </w:t>
      </w:r>
      <w:r>
        <w:rPr>
          <w:iCs/>
          <w:i/>
        </w:rPr>
        <w:t xml:space="preserve">Journal of Machine Learning Research</w:t>
      </w:r>
      <w:r>
        <w:t xml:space="preserve"> </w:t>
      </w:r>
      <w:r>
        <w:t xml:space="preserve">15: 3921–62.</w:t>
      </w:r>
    </w:p>
    <w:bookmarkEnd w:id="95"/>
    <w:bookmarkStart w:id="97" w:name="ref-diebold2014network"/>
    <w:p>
      <w:pPr>
        <w:pStyle w:val="Bibliography"/>
      </w:pPr>
      <w:r>
        <w:t xml:space="preserve">Diebold, Francis X., and Kamil Yılmaz. 2014.</w:t>
      </w:r>
      <w:r>
        <w:t xml:space="preserve"> </w:t>
      </w:r>
      <w:r>
        <w:t xml:space="preserve">“On the Network Topology of Variance Decompositions: Measuring the Connectedness of Financial Firms.”</w:t>
      </w:r>
      <w:r>
        <w:t xml:space="preserve"> </w:t>
      </w:r>
      <w:r>
        <w:rPr>
          <w:iCs/>
          <w:i/>
        </w:rPr>
        <w:t xml:space="preserve">Journal of Econometrics</w:t>
      </w:r>
      <w:r>
        <w:t xml:space="preserve"> </w:t>
      </w:r>
      <w:r>
        <w:t xml:space="preserve">182 (1): 119–34.</w:t>
      </w:r>
      <w:r>
        <w:t xml:space="preserve"> </w:t>
      </w:r>
      <w:hyperlink r:id="rId96">
        <w:r>
          <w:rPr>
            <w:rStyle w:val="Hyperlink"/>
          </w:rPr>
          <w:t xml:space="preserve">https://doi.org/10.1016/j.jeconom.2014.04.012</w:t>
        </w:r>
      </w:hyperlink>
      <w:r>
        <w:t xml:space="preserve">.</w:t>
      </w:r>
    </w:p>
    <w:bookmarkEnd w:id="97"/>
    <w:bookmarkStart w:id="99" w:name="ref-drehmann2013measuring"/>
    <w:p>
      <w:pPr>
        <w:pStyle w:val="Bibliography"/>
      </w:pPr>
      <w:r>
        <w:t xml:space="preserve">Drehmann, Mathias, and Nikola Tarashev. 2013.</w:t>
      </w:r>
      <w:r>
        <w:t xml:space="preserve"> </w:t>
      </w:r>
      <w:r>
        <w:t xml:space="preserve">“Measuring the Systemic Importance of Interconnected Banks.”</w:t>
      </w:r>
      <w:r>
        <w:t xml:space="preserve"> </w:t>
      </w:r>
      <w:r>
        <w:rPr>
          <w:iCs/>
          <w:i/>
        </w:rPr>
        <w:t xml:space="preserve">Journal of Financial Intermediation</w:t>
      </w:r>
      <w:r>
        <w:t xml:space="preserve"> </w:t>
      </w:r>
      <w:r>
        <w:t xml:space="preserve">22 (4): 586–607.</w:t>
      </w:r>
      <w:r>
        <w:t xml:space="preserve"> </w:t>
      </w:r>
      <w:hyperlink r:id="rId98">
        <w:r>
          <w:rPr>
            <w:rStyle w:val="Hyperlink"/>
          </w:rPr>
          <w:t xml:space="preserve">https://doi.org/10.1016/j.jfi.2013.08.001</w:t>
        </w:r>
      </w:hyperlink>
      <w:r>
        <w:t xml:space="preserve">.</w:t>
      </w:r>
    </w:p>
    <w:bookmarkEnd w:id="99"/>
    <w:bookmarkStart w:id="101" w:name="ref-efron1983estimating"/>
    <w:p>
      <w:pPr>
        <w:pStyle w:val="Bibliography"/>
      </w:pPr>
      <w:r>
        <w:t xml:space="preserve">Efron, Bradley. 1983.</w:t>
      </w:r>
      <w:r>
        <w:t xml:space="preserve"> </w:t>
      </w:r>
      <w:r>
        <w:t xml:space="preserve">“Estimating the Error Rate of a Prediction Rule: Improvement on Cross-Validation.”</w:t>
      </w:r>
      <w:r>
        <w:t xml:space="preserve"> </w:t>
      </w:r>
      <w:r>
        <w:rPr>
          <w:iCs/>
          <w:i/>
        </w:rPr>
        <w:t xml:space="preserve">Journal of the American Statistical Association</w:t>
      </w:r>
      <w:r>
        <w:t xml:space="preserve"> </w:t>
      </w:r>
      <w:r>
        <w:t xml:space="preserve">78 (382): 316–31.</w:t>
      </w:r>
      <w:r>
        <w:t xml:space="preserve"> </w:t>
      </w:r>
      <w:hyperlink r:id="rId100">
        <w:r>
          <w:rPr>
            <w:rStyle w:val="Hyperlink"/>
          </w:rPr>
          <w:t xml:space="preserve">https://doi.org/10.1080/01621459.1983.10477973</w:t>
        </w:r>
      </w:hyperlink>
      <w:r>
        <w:t xml:space="preserve">.</w:t>
      </w:r>
    </w:p>
    <w:bookmarkEnd w:id="101"/>
    <w:bookmarkStart w:id="103" w:name="ref-eisenberg2001systemic"/>
    <w:p>
      <w:pPr>
        <w:pStyle w:val="Bibliography"/>
      </w:pPr>
      <w:r>
        <w:t xml:space="preserve">Eisenberg, Larry, and Thomas H. Noe. 2001.</w:t>
      </w:r>
      <w:r>
        <w:t xml:space="preserve"> </w:t>
      </w:r>
      <w:r>
        <w:t xml:space="preserve">“Systemic Risk in Financial Systems.”</w:t>
      </w:r>
      <w:r>
        <w:t xml:space="preserve"> </w:t>
      </w:r>
      <w:r>
        <w:rPr>
          <w:iCs/>
          <w:i/>
        </w:rPr>
        <w:t xml:space="preserve">Management Science</w:t>
      </w:r>
      <w:r>
        <w:t xml:space="preserve"> </w:t>
      </w:r>
      <w:r>
        <w:t xml:space="preserve">47 (2): 236–49.</w:t>
      </w:r>
      <w:r>
        <w:t xml:space="preserve"> </w:t>
      </w:r>
      <w:hyperlink r:id="rId102">
        <w:r>
          <w:rPr>
            <w:rStyle w:val="Hyperlink"/>
          </w:rPr>
          <w:t xml:space="preserve">https://doi.org/10.1287/mnsc.47.2.236.9835</w:t>
        </w:r>
      </w:hyperlink>
      <w:r>
        <w:t xml:space="preserve">.</w:t>
      </w:r>
    </w:p>
    <w:bookmarkEnd w:id="103"/>
    <w:bookmarkStart w:id="104" w:name="ref-etesami2023tvdig"/>
    <w:p>
      <w:pPr>
        <w:pStyle w:val="Bibliography"/>
      </w:pPr>
      <w:r>
        <w:t xml:space="preserve">Etesami, Jalal, Ali Habibnia, and Negar Kiyavash. 2023.</w:t>
      </w:r>
      <w:r>
        <w:t xml:space="preserve"> </w:t>
      </w:r>
      <w:r>
        <w:t xml:space="preserve">“Modeling Systemic Risk: A Time-Varying Nonparametric Causal Inference Framework.”</w:t>
      </w:r>
      <w:r>
        <w:t xml:space="preserve"> </w:t>
      </w:r>
      <w:r>
        <w:t xml:space="preserve">arXiv:2312.16707.</w:t>
      </w:r>
    </w:p>
    <w:bookmarkEnd w:id="104"/>
    <w:bookmarkStart w:id="105" w:name="ref-farzulla2026asri"/>
    <w:p>
      <w:pPr>
        <w:pStyle w:val="Bibliography"/>
      </w:pPr>
      <w:r>
        <w:t xml:space="preserve">Farzulla, Murad, and Andrew Maksakov. 2026.</w:t>
      </w:r>
      <w:r>
        <w:t xml:space="preserve"> </w:t>
      </w:r>
      <w:r>
        <w:t xml:space="preserve">“</w:t>
      </w:r>
      <w:r>
        <w:t xml:space="preserve">ASRI</w:t>
      </w:r>
      <w:r>
        <w:t xml:space="preserve">: An Aggregated Systemic Risk Index for Cryptocurrency Markets.”</w:t>
      </w:r>
      <w:r>
        <w:t xml:space="preserve"> </w:t>
      </w:r>
      <w:r>
        <w:t xml:space="preserve">arXiv:2602.03874.</w:t>
      </w:r>
    </w:p>
    <w:bookmarkEnd w:id="105"/>
    <w:bookmarkStart w:id="107" w:name="ref-giudici2018corisk"/>
    <w:p>
      <w:pPr>
        <w:pStyle w:val="Bibliography"/>
      </w:pPr>
      <w:r>
        <w:t xml:space="preserve">Giudici, Paolo, and Laura Parisi. 2018.</w:t>
      </w:r>
      <w:r>
        <w:t xml:space="preserve"> </w:t>
      </w:r>
      <w:r>
        <w:t xml:space="preserve">“</w:t>
      </w:r>
      <w:r>
        <w:t xml:space="preserve">CoRisk</w:t>
      </w:r>
      <w:r>
        <w:t xml:space="preserve">: Credit Risk Contagion with Correlation Network Models.”</w:t>
      </w:r>
      <w:r>
        <w:t xml:space="preserve"> </w:t>
      </w:r>
      <w:r>
        <w:rPr>
          <w:iCs/>
          <w:i/>
        </w:rPr>
        <w:t xml:space="preserve">Risks</w:t>
      </w:r>
      <w:r>
        <w:t xml:space="preserve"> </w:t>
      </w:r>
      <w:r>
        <w:t xml:space="preserve">6 (3): 95.</w:t>
      </w:r>
      <w:r>
        <w:t xml:space="preserve"> </w:t>
      </w:r>
      <w:hyperlink r:id="rId106">
        <w:r>
          <w:rPr>
            <w:rStyle w:val="Hyperlink"/>
          </w:rPr>
          <w:t xml:space="preserve">https://doi.org/10.3390/risks6030095</w:t>
        </w:r>
      </w:hyperlink>
      <w:r>
        <w:t xml:space="preserve">.</w:t>
      </w:r>
    </w:p>
    <w:bookmarkEnd w:id="107"/>
    <w:bookmarkStart w:id="109" w:name="ref-glasserman2016contagion"/>
    <w:p>
      <w:pPr>
        <w:pStyle w:val="Bibliography"/>
      </w:pPr>
      <w:r>
        <w:t xml:space="preserve">Glasserman, Paul, and H. Peyton Young. 2016.</w:t>
      </w:r>
      <w:r>
        <w:t xml:space="preserve"> </w:t>
      </w:r>
      <w:r>
        <w:t xml:space="preserve">“Contagion in Financial Networks.”</w:t>
      </w:r>
      <w:r>
        <w:t xml:space="preserve"> </w:t>
      </w:r>
      <w:r>
        <w:rPr>
          <w:iCs/>
          <w:i/>
        </w:rPr>
        <w:t xml:space="preserve">Journal of Economic Literature</w:t>
      </w:r>
      <w:r>
        <w:t xml:space="preserve"> </w:t>
      </w:r>
      <w:r>
        <w:t xml:space="preserve">54 (3): 779–831.</w:t>
      </w:r>
      <w:r>
        <w:t xml:space="preserve"> </w:t>
      </w:r>
      <w:hyperlink r:id="rId108">
        <w:r>
          <w:rPr>
            <w:rStyle w:val="Hyperlink"/>
          </w:rPr>
          <w:t xml:space="preserve">https://doi.org/10.1257/jel.20151228</w:t>
        </w:r>
      </w:hyperlink>
      <w:r>
        <w:t xml:space="preserve">.</w:t>
      </w:r>
    </w:p>
    <w:bookmarkEnd w:id="109"/>
    <w:bookmarkStart w:id="111" w:name="ref-granger1969"/>
    <w:p>
      <w:pPr>
        <w:pStyle w:val="Bibliography"/>
      </w:pPr>
      <w:r>
        <w:t xml:space="preserve">Granger, C. W. J. 1969.</w:t>
      </w:r>
      <w:r>
        <w:t xml:space="preserve"> </w:t>
      </w:r>
      <w:r>
        <w:t xml:space="preserve">“Investigating Causal Relations by Econometric Models and Cross-Spectral Methods.”</w:t>
      </w:r>
      <w:r>
        <w:t xml:space="preserve"> </w:t>
      </w:r>
      <w:r>
        <w:rPr>
          <w:iCs/>
          <w:i/>
        </w:rPr>
        <w:t xml:space="preserve">Econometrica</w:t>
      </w:r>
      <w:r>
        <w:t xml:space="preserve"> </w:t>
      </w:r>
      <w:r>
        <w:t xml:space="preserve">37 (3): 424–38.</w:t>
      </w:r>
      <w:r>
        <w:t xml:space="preserve"> </w:t>
      </w:r>
      <w:hyperlink r:id="rId110">
        <w:r>
          <w:rPr>
            <w:rStyle w:val="Hyperlink"/>
          </w:rPr>
          <w:t xml:space="preserve">https://doi.org/10.2307/1912791</w:t>
        </w:r>
      </w:hyperlink>
      <w:r>
        <w:t xml:space="preserve">.</w:t>
      </w:r>
    </w:p>
    <w:bookmarkEnd w:id="111"/>
    <w:bookmarkStart w:id="113" w:name="ref-griffin2020bitcoin"/>
    <w:p>
      <w:pPr>
        <w:pStyle w:val="Bibliography"/>
      </w:pPr>
      <w:r>
        <w:t xml:space="preserve">Griffin, John M., and Amin Shams. 2020.</w:t>
      </w:r>
      <w:r>
        <w:t xml:space="preserve"> </w:t>
      </w:r>
      <w:r>
        <w:t xml:space="preserve">“Is Bitcoin Really Untethered?”</w:t>
      </w:r>
      <w:r>
        <w:t xml:space="preserve"> </w:t>
      </w:r>
      <w:r>
        <w:rPr>
          <w:iCs/>
          <w:i/>
        </w:rPr>
        <w:t xml:space="preserve">The Journal of Finance</w:t>
      </w:r>
      <w:r>
        <w:t xml:space="preserve"> </w:t>
      </w:r>
      <w:r>
        <w:t xml:space="preserve">75 (4): 1913–64.</w:t>
      </w:r>
      <w:r>
        <w:t xml:space="preserve"> </w:t>
      </w:r>
      <w:hyperlink r:id="rId112">
        <w:r>
          <w:rPr>
            <w:rStyle w:val="Hyperlink"/>
          </w:rPr>
          <w:t xml:space="preserve">https://doi.org/10.1111/jofi.12903</w:t>
        </w:r>
      </w:hyperlink>
      <w:r>
        <w:t xml:space="preserve">.</w:t>
      </w:r>
    </w:p>
    <w:bookmarkEnd w:id="113"/>
    <w:bookmarkStart w:id="114" w:name="ref-heskes2020causal"/>
    <w:p>
      <w:pPr>
        <w:pStyle w:val="Bibliography"/>
      </w:pPr>
      <w:r>
        <w:t xml:space="preserve">Heskes, Tom, Evi Sijben, Ioan Gabriel Bucur, and Tom Claassen. 2020.</w:t>
      </w:r>
      <w:r>
        <w:t xml:space="preserve"> </w:t>
      </w:r>
      <w:r>
        <w:t xml:space="preserve">“Causal Shapley Values: Exploiting Causal Knowledge to Explain Individual Predictions of Complex Models.”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 33 (NeurIPS 2020)</w:t>
      </w:r>
      <w:r>
        <w:t xml:space="preserve">.</w:t>
      </w:r>
    </w:p>
    <w:bookmarkEnd w:id="114"/>
    <w:bookmarkStart w:id="116" w:name="ref-kumar2025causalreview"/>
    <w:p>
      <w:pPr>
        <w:pStyle w:val="Bibliography"/>
      </w:pPr>
      <w:r>
        <w:t xml:space="preserve">Kumar, Satyam, Yelleti Vivek, Vadlamani Ravi, and Indranil Bose. 2025.</w:t>
      </w:r>
      <w:r>
        <w:t xml:space="preserve"> </w:t>
      </w:r>
      <w:r>
        <w:t xml:space="preserve">“A Comprehensive Review of Causal Inference in Banking, Finance, and Insurance.”</w:t>
      </w:r>
      <w:r>
        <w:t xml:space="preserve"> </w:t>
      </w:r>
      <w:r>
        <w:rPr>
          <w:iCs/>
          <w:i/>
        </w:rPr>
        <w:t xml:space="preserve">ACM Computing Surveys</w:t>
      </w:r>
      <w:r>
        <w:t xml:space="preserve"> </w:t>
      </w:r>
      <w:r>
        <w:t xml:space="preserve">57 (12).</w:t>
      </w:r>
      <w:r>
        <w:t xml:space="preserve"> </w:t>
      </w:r>
      <w:hyperlink r:id="rId115">
        <w:r>
          <w:rPr>
            <w:rStyle w:val="Hyperlink"/>
          </w:rPr>
          <w:t xml:space="preserve">https://doi.org/10.1145/3736752</w:t>
        </w:r>
      </w:hyperlink>
      <w:r>
        <w:t xml:space="preserve">.</w:t>
      </w:r>
    </w:p>
    <w:bookmarkEnd w:id="116"/>
    <w:bookmarkStart w:id="118" w:name="ref-kunsch1989jackknife"/>
    <w:p>
      <w:pPr>
        <w:pStyle w:val="Bibliography"/>
      </w:pPr>
      <w:r>
        <w:t xml:space="preserve">Künsch, Hans R. 1989.</w:t>
      </w:r>
      <w:r>
        <w:t xml:space="preserve"> </w:t>
      </w:r>
      <w:r>
        <w:t xml:space="preserve">“The Jackknife and the Bootstrap for General Stationary Observations.”</w:t>
      </w:r>
      <w:r>
        <w:t xml:space="preserve"> </w:t>
      </w:r>
      <w:r>
        <w:rPr>
          <w:iCs/>
          <w:i/>
        </w:rPr>
        <w:t xml:space="preserve">The Annals of Statistics</w:t>
      </w:r>
      <w:r>
        <w:t xml:space="preserve"> </w:t>
      </w:r>
      <w:r>
        <w:t xml:space="preserve">17 (3).</w:t>
      </w:r>
      <w:r>
        <w:t xml:space="preserve"> </w:t>
      </w:r>
      <w:hyperlink r:id="rId117">
        <w:r>
          <w:rPr>
            <w:rStyle w:val="Hyperlink"/>
          </w:rPr>
          <w:t xml:space="preserve">https://doi.org/10.1214/aos/1176347265</w:t>
        </w:r>
      </w:hyperlink>
      <w:r>
        <w:t xml:space="preserve">.</w:t>
      </w:r>
    </w:p>
    <w:bookmarkEnd w:id="118"/>
    <w:bookmarkStart w:id="119" w:name="ref-lim2026cascade"/>
    <w:p>
      <w:pPr>
        <w:pStyle w:val="Bibliography"/>
      </w:pPr>
      <w:r>
        <w:t xml:space="preserve">Lim, Boon Chuan. 2026.</w:t>
      </w:r>
      <w:r>
        <w:t xml:space="preserve"> </w:t>
      </w:r>
      <w:r>
        <w:t xml:space="preserve">“Anatomy of a Crypto Cascade: Minute-Level Evidence from the</w:t>
      </w:r>
      <w:r>
        <w:t xml:space="preserve"> </w:t>
      </w:r>
      <w:r>
        <w:t xml:space="preserve">October</w:t>
      </w:r>
      <w:r>
        <w:t xml:space="preserve"> </w:t>
      </w:r>
      <w:r>
        <w:t xml:space="preserve">2025 Crash.”</w:t>
      </w:r>
      <w:r>
        <w:t xml:space="preserve"> </w:t>
      </w:r>
      <w:r>
        <w:t xml:space="preserve">SSRN Working Paper 6579278.</w:t>
      </w:r>
    </w:p>
    <w:bookmarkEnd w:id="119"/>
    <w:bookmarkStart w:id="121" w:name="ref-liu2023anatomy"/>
    <w:p>
      <w:pPr>
        <w:pStyle w:val="Bibliography"/>
      </w:pPr>
      <w:r>
        <w:t xml:space="preserve">Liu, Jiageng, Igor Makarov, and Antoinette Schoar. 2023.</w:t>
      </w:r>
      <w:r>
        <w:t xml:space="preserve"> </w:t>
      </w:r>
      <w:r>
        <w:t xml:space="preserve">“Anatomy of a Run: The Terra Luna Crash.”</w:t>
      </w:r>
      <w:r>
        <w:t xml:space="preserve"> </w:t>
      </w:r>
      <w:r>
        <w:t xml:space="preserve">Working Paper 31160. National Bureau of Economic Research.</w:t>
      </w:r>
      <w:r>
        <w:t xml:space="preserve"> </w:t>
      </w:r>
      <w:hyperlink r:id="rId120">
        <w:r>
          <w:rPr>
            <w:rStyle w:val="Hyperlink"/>
          </w:rPr>
          <w:t xml:space="preserve">https://doi.org/10.3386/w31160</w:t>
        </w:r>
      </w:hyperlink>
      <w:r>
        <w:t xml:space="preserve">.</w:t>
      </w:r>
    </w:p>
    <w:bookmarkEnd w:id="121"/>
    <w:bookmarkStart w:id="123" w:name="ref-makarov2020trading"/>
    <w:p>
      <w:pPr>
        <w:pStyle w:val="Bibliography"/>
      </w:pPr>
      <w:r>
        <w:t xml:space="preserve">Makarov, Igor, and Antoinette Schoar. 2020.</w:t>
      </w:r>
      <w:r>
        <w:t xml:space="preserve"> </w:t>
      </w:r>
      <w:r>
        <w:t xml:space="preserve">“Trading and Arbitrage in Cryptocurrency Markets.”</w:t>
      </w:r>
      <w:r>
        <w:t xml:space="preserve"> </w:t>
      </w:r>
      <w:r>
        <w:rPr>
          <w:iCs/>
          <w:i/>
        </w:rPr>
        <w:t xml:space="preserve">Journal of Financial Economics</w:t>
      </w:r>
      <w:r>
        <w:t xml:space="preserve"> </w:t>
      </w:r>
      <w:r>
        <w:t xml:space="preserve">135 (2): 293–319.</w:t>
      </w:r>
      <w:r>
        <w:t xml:space="preserve"> </w:t>
      </w:r>
      <w:hyperlink r:id="rId122">
        <w:r>
          <w:rPr>
            <w:rStyle w:val="Hyperlink"/>
          </w:rPr>
          <w:t xml:space="preserve">https://doi.org/10.1016/j.jfineco.2019.07.001</w:t>
        </w:r>
      </w:hyperlink>
      <w:r>
        <w:t xml:space="preserve">.</w:t>
      </w:r>
    </w:p>
    <w:bookmarkEnd w:id="123"/>
    <w:bookmarkStart w:id="125" w:name="ref-meiklejohn2013fistful"/>
    <w:p>
      <w:pPr>
        <w:pStyle w:val="Bibliography"/>
      </w:pPr>
      <w:r>
        <w:t xml:space="preserve">Meiklejohn, Sarah, Marjori Pomarole, Grant Jordan, Kirill Levchenko, Damon McCoy, Geoffrey M. Voelker, and Stefan Savage. 2013.</w:t>
      </w:r>
      <w:r>
        <w:t xml:space="preserve"> </w:t>
      </w:r>
      <w:r>
        <w:t xml:space="preserve">“A Fistful of Bitcoins: Characterizing Payments Among Men with No Names.”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ACM Internet Measurement Conference (IMC)</w:t>
      </w:r>
      <w:r>
        <w:t xml:space="preserve">, 127–40.</w:t>
      </w:r>
      <w:r>
        <w:t xml:space="preserve"> </w:t>
      </w:r>
      <w:hyperlink r:id="rId124">
        <w:r>
          <w:rPr>
            <w:rStyle w:val="Hyperlink"/>
          </w:rPr>
          <w:t xml:space="preserve">https://doi.org/10.1145/2504730.2504747</w:t>
        </w:r>
      </w:hyperlink>
      <w:r>
        <w:t xml:space="preserve">.</w:t>
      </w:r>
    </w:p>
    <w:bookmarkEnd w:id="125"/>
    <w:bookmarkStart w:id="127" w:name="ref-pearl2009causality"/>
    <w:p>
      <w:pPr>
        <w:pStyle w:val="Bibliography"/>
      </w:pPr>
      <w:r>
        <w:t xml:space="preserve">Pearl, Judea. 2009.</w:t>
      </w:r>
      <w:r>
        <w:t xml:space="preserve"> </w:t>
      </w:r>
      <w:r>
        <w:rPr>
          <w:iCs/>
          <w:i/>
        </w:rPr>
        <w:t xml:space="preserve">Causality: Models, Reasoning, and Inference</w:t>
      </w:r>
      <w:r>
        <w:t xml:space="preserve">. 2nd ed. Cambridge, UK: Cambridge University Press.</w:t>
      </w:r>
      <w:r>
        <w:t xml:space="preserve"> </w:t>
      </w:r>
      <w:hyperlink r:id="rId126">
        <w:r>
          <w:rPr>
            <w:rStyle w:val="Hyperlink"/>
          </w:rPr>
          <w:t xml:space="preserve">https://doi.org/10.1017/CBO9780511803161</w:t>
        </w:r>
      </w:hyperlink>
      <w:r>
        <w:t xml:space="preserve">.</w:t>
      </w:r>
    </w:p>
    <w:bookmarkEnd w:id="127"/>
    <w:bookmarkStart w:id="129" w:name="ref-pearl2019seven"/>
    <w:p>
      <w:pPr>
        <w:pStyle w:val="Bibliography"/>
      </w:pPr>
      <w:r>
        <w:t xml:space="preserve">———. 2019.</w:t>
      </w:r>
      <w:r>
        <w:t xml:space="preserve"> </w:t>
      </w:r>
      <w:r>
        <w:t xml:space="preserve">“The Seven Tools of Causal Inference, with Reflections on Machine Learning.”</w:t>
      </w:r>
      <w:r>
        <w:t xml:space="preserve"> </w:t>
      </w:r>
      <w:r>
        <w:rPr>
          <w:iCs/>
          <w:i/>
        </w:rPr>
        <w:t xml:space="preserve">Communications of the ACM</w:t>
      </w:r>
      <w:r>
        <w:t xml:space="preserve"> </w:t>
      </w:r>
      <w:r>
        <w:t xml:space="preserve">62 (3): 54–60.</w:t>
      </w:r>
      <w:r>
        <w:t xml:space="preserve"> </w:t>
      </w:r>
      <w:hyperlink r:id="rId128">
        <w:r>
          <w:rPr>
            <w:rStyle w:val="Hyperlink"/>
          </w:rPr>
          <w:t xml:space="preserve">https://doi.org/10.1145/3241036</w:t>
        </w:r>
      </w:hyperlink>
      <w:r>
        <w:t xml:space="preserve">.</w:t>
      </w:r>
    </w:p>
    <w:bookmarkEnd w:id="129"/>
    <w:bookmarkStart w:id="131" w:name="ref-qin2021liquidations"/>
    <w:p>
      <w:pPr>
        <w:pStyle w:val="Bibliography"/>
      </w:pPr>
      <w:r>
        <w:t xml:space="preserve">Qin, Kaihua, Liyi Zhou, Pablo Gamito, Philipp Jovanovic, and Arthur Gervais. 2021.</w:t>
      </w:r>
      <w:r>
        <w:t xml:space="preserve"> </w:t>
      </w:r>
      <w:r>
        <w:t xml:space="preserve">“An Empirical Study of</w:t>
      </w:r>
      <w:r>
        <w:t xml:space="preserve"> </w:t>
      </w:r>
      <w:r>
        <w:t xml:space="preserve">DeFi</w:t>
      </w:r>
      <w:r>
        <w:t xml:space="preserve"> </w:t>
      </w:r>
      <w:r>
        <w:t xml:space="preserve">Liquidations.”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21st ACM Internet Measurement Conference (IMC ’21)</w:t>
      </w:r>
      <w:r>
        <w:t xml:space="preserve">, 336–50.</w:t>
      </w:r>
      <w:r>
        <w:t xml:space="preserve"> </w:t>
      </w:r>
      <w:hyperlink r:id="rId130">
        <w:r>
          <w:rPr>
            <w:rStyle w:val="Hyperlink"/>
          </w:rPr>
          <w:t xml:space="preserve">https://doi.org/10.1145/3487552.3487811</w:t>
        </w:r>
      </w:hyperlink>
      <w:r>
        <w:t xml:space="preserve">.</w:t>
      </w:r>
    </w:p>
    <w:bookmarkEnd w:id="131"/>
    <w:bookmarkStart w:id="133" w:name="ref-rigana2023new"/>
    <w:p>
      <w:pPr>
        <w:pStyle w:val="Bibliography"/>
      </w:pPr>
      <w:r>
        <w:t xml:space="preserve">Rigana, Katerina, Ernst C. Wit, and Samantha Cook. 2023.</w:t>
      </w:r>
      <w:r>
        <w:t xml:space="preserve"> </w:t>
      </w:r>
      <w:r>
        <w:t xml:space="preserve">“A New Way of Measuring Effects of Financial Crisis on Contagion in Currency Markets.”</w:t>
      </w:r>
      <w:r>
        <w:t xml:space="preserve"> </w:t>
      </w:r>
      <w:r>
        <w:rPr>
          <w:iCs/>
          <w:i/>
        </w:rPr>
        <w:t xml:space="preserve">International Review of Financial Analysis</w:t>
      </w:r>
      <w:r>
        <w:t xml:space="preserve"> </w:t>
      </w:r>
      <w:r>
        <w:t xml:space="preserve">90: 102764.</w:t>
      </w:r>
      <w:r>
        <w:t xml:space="preserve"> </w:t>
      </w:r>
      <w:hyperlink r:id="rId132">
        <w:r>
          <w:rPr>
            <w:rStyle w:val="Hyperlink"/>
          </w:rPr>
          <w:t xml:space="preserve">https://doi.org/10.1016/j.irfa.2023.102764</w:t>
        </w:r>
      </w:hyperlink>
      <w:r>
        <w:t xml:space="preserve">.</w:t>
      </w:r>
    </w:p>
    <w:bookmarkEnd w:id="133"/>
    <w:bookmarkStart w:id="134" w:name="ref-rigana2024neco"/>
    <w:p>
      <w:pPr>
        <w:pStyle w:val="Bibliography"/>
      </w:pPr>
      <w:r>
        <w:t xml:space="preserve">———. 2024.</w:t>
      </w:r>
      <w:r>
        <w:t xml:space="preserve"> </w:t>
      </w:r>
      <w:r>
        <w:t xml:space="preserve">“Navigating Market Turbulence: Insights from Causal Network Contagion Value at Risk.”</w:t>
      </w:r>
      <w:r>
        <w:t xml:space="preserve"> </w:t>
      </w:r>
      <w:r>
        <w:t xml:space="preserve">arXiv:2402.06032.</w:t>
      </w:r>
    </w:p>
    <w:bookmarkEnd w:id="134"/>
    <w:bookmarkStart w:id="135" w:name="ref-sankaewtong2026tracing"/>
    <w:p>
      <w:pPr>
        <w:pStyle w:val="Bibliography"/>
      </w:pPr>
      <w:r>
        <w:t xml:space="preserve">Sankaewtong, Krongtum, Stefan Kitzler, Bernhard Haslhofer, and Yuichi Ikeda. 2026.</w:t>
      </w:r>
      <w:r>
        <w:t xml:space="preserve"> </w:t>
      </w:r>
      <w:r>
        <w:t xml:space="preserve">“Tracing Stablecoin Contagion During the</w:t>
      </w:r>
      <w:r>
        <w:t xml:space="preserve"> </w:t>
      </w:r>
      <w:r>
        <w:t xml:space="preserve">USDC</w:t>
      </w:r>
      <w:r>
        <w:t xml:space="preserve"> </w:t>
      </w:r>
      <w:r>
        <w:t xml:space="preserve">Depeg After the</w:t>
      </w:r>
      <w:r>
        <w:t xml:space="preserve"> </w:t>
      </w:r>
      <w:r>
        <w:t xml:space="preserve">Silicon Valley Bank</w:t>
      </w:r>
      <w:r>
        <w:t xml:space="preserve"> </w:t>
      </w:r>
      <w:r>
        <w:t xml:space="preserve">Collapse.”</w:t>
      </w:r>
      <w:r>
        <w:t xml:space="preserve"> </w:t>
      </w:r>
      <w:r>
        <w:t xml:space="preserve">arXiv:2606.07442.</w:t>
      </w:r>
    </w:p>
    <w:bookmarkEnd w:id="135"/>
    <w:bookmarkStart w:id="137" w:name="ref-shapley1953value"/>
    <w:p>
      <w:pPr>
        <w:pStyle w:val="Bibliography"/>
      </w:pPr>
      <w:r>
        <w:t xml:space="preserve">Shapley, L. S. 1953.</w:t>
      </w:r>
      <w:r>
        <w:t xml:space="preserve"> </w:t>
      </w:r>
      <w:r>
        <w:t xml:space="preserve">“A Value for</w:t>
      </w:r>
      <w:r>
        <w:t xml:space="preserve"> </w:t>
      </w:r>
      <m:oMath>
        <m:r>
          <m:t>n</m:t>
        </m:r>
      </m:oMath>
      <w:r>
        <w:t xml:space="preserve">-Person Games.”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Contributions to the Theory of Games, Volume II</w:t>
      </w:r>
      <w:r>
        <w:t xml:space="preserve">, edited by Harold W. Kuhn and Albert W. Tucker, 307–17. Annals of Mathematics Studies 28. Princeton, NJ: Princeton University Press.</w:t>
      </w:r>
      <w:r>
        <w:t xml:space="preserve"> </w:t>
      </w:r>
      <w:hyperlink r:id="rId136">
        <w:r>
          <w:rPr>
            <w:rStyle w:val="Hyperlink"/>
          </w:rPr>
          <w:t xml:space="preserve">https://doi.org/10.1515/9781400881970-018</w:t>
        </w:r>
      </w:hyperlink>
      <w:r>
        <w:t xml:space="preserve">.</w:t>
      </w:r>
    </w:p>
    <w:bookmarkEnd w:id="137"/>
    <w:bookmarkStart w:id="138" w:name="ref-singal2021flow"/>
    <w:p>
      <w:pPr>
        <w:pStyle w:val="Bibliography"/>
      </w:pPr>
      <w:r>
        <w:t xml:space="preserve">Singal, Raghav, George Michailidis, and Hoiyi Ng. 2021.</w:t>
      </w:r>
      <w:r>
        <w:t xml:space="preserve"> </w:t>
      </w:r>
      <w:r>
        <w:t xml:space="preserve">“Flow-Based Attribution in Graphical Models: A Recursive Shapley Approach.”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38th International Conference on Machine Learning (ICML 2021)</w:t>
      </w:r>
      <w:r>
        <w:t xml:space="preserve">, 139:9733–43. Proceedings of Machine Learning Research.</w:t>
      </w:r>
    </w:p>
    <w:bookmarkEnd w:id="138"/>
    <w:bookmarkStart w:id="139" w:name="ref-spirtes2000causation"/>
    <w:p>
      <w:pPr>
        <w:pStyle w:val="Bibliography"/>
      </w:pPr>
      <w:r>
        <w:t xml:space="preserve">Spirtes, Peter, Clark Glymour, and Richard Scheines. 2000.</w:t>
      </w:r>
      <w:r>
        <w:t xml:space="preserve"> </w:t>
      </w:r>
      <w:r>
        <w:rPr>
          <w:iCs/>
          <w:i/>
        </w:rPr>
        <w:t xml:space="preserve">Causation, Prediction, and Search</w:t>
      </w:r>
      <w:r>
        <w:t xml:space="preserve">. 2nd ed. Cambridge, MA: MIT Press.</w:t>
      </w:r>
    </w:p>
    <w:bookmarkEnd w:id="139"/>
    <w:bookmarkStart w:id="141" w:name="ref-tarashev2016attributing"/>
    <w:p>
      <w:pPr>
        <w:pStyle w:val="Bibliography"/>
      </w:pPr>
      <w:r>
        <w:t xml:space="preserve">Tarashev, Nikola, Claudio Borio, and Kostas Tsatsaronis. 2016.</w:t>
      </w:r>
      <w:r>
        <w:t xml:space="preserve"> </w:t>
      </w:r>
      <w:r>
        <w:t xml:space="preserve">“Risk Attribution Using the</w:t>
      </w:r>
      <w:r>
        <w:t xml:space="preserve"> </w:t>
      </w:r>
      <w:r>
        <w:t xml:space="preserve">Shapley</w:t>
      </w:r>
      <w:r>
        <w:t xml:space="preserve"> </w:t>
      </w:r>
      <w:r>
        <w:t xml:space="preserve">Value: Methodology and Policy Applications.”</w:t>
      </w:r>
      <w:r>
        <w:t xml:space="preserve"> </w:t>
      </w:r>
      <w:r>
        <w:rPr>
          <w:iCs/>
          <w:i/>
        </w:rPr>
        <w:t xml:space="preserve">Review of Finance</w:t>
      </w:r>
      <w:r>
        <w:t xml:space="preserve"> </w:t>
      </w:r>
      <w:r>
        <w:t xml:space="preserve">20 (3): 1189–1213.</w:t>
      </w:r>
      <w:r>
        <w:t xml:space="preserve"> </w:t>
      </w:r>
      <w:hyperlink r:id="rId140">
        <w:r>
          <w:rPr>
            <w:rStyle w:val="Hyperlink"/>
          </w:rPr>
          <w:t xml:space="preserve">https://doi.org/10.1093/rof/rfv028</w:t>
        </w:r>
      </w:hyperlink>
      <w:r>
        <w:t xml:space="preserve">.</w:t>
      </w:r>
    </w:p>
    <w:bookmarkEnd w:id="141"/>
    <w:bookmarkStart w:id="142" w:name="ref-weber2019antimoney"/>
    <w:p>
      <w:pPr>
        <w:pStyle w:val="Bibliography"/>
      </w:pPr>
      <w:r>
        <w:t xml:space="preserve">Weber, Mark, Giacomo Domeniconi, Jie Chen, Daniel Karl I. Weidele, Claudio Bellei, Tom Robinson, and Charles E. Leiserson. 2019.</w:t>
      </w:r>
      <w:r>
        <w:t xml:space="preserve"> </w:t>
      </w:r>
      <w:r>
        <w:t xml:space="preserve">“Anti-Money Laundering in Bitcoin: Experimenting with Graph Convolutional Networks for Financial Forensics.”</w:t>
      </w:r>
      <w:r>
        <w:t xml:space="preserve"> </w:t>
      </w:r>
      <w:r>
        <w:t xml:space="preserve">arXiv:1908.02591.</w:t>
      </w:r>
    </w:p>
    <w:bookmarkEnd w:id="142"/>
    <w:bookmarkStart w:id="144" w:name="ref-xu2025counterfactual"/>
    <w:p>
      <w:pPr>
        <w:pStyle w:val="Bibliography"/>
      </w:pPr>
      <w:r>
        <w:t xml:space="preserve">Xu, Zhongyuan. 2025.</w:t>
      </w:r>
      <w:r>
        <w:t xml:space="preserve"> </w:t>
      </w:r>
      <w:r>
        <w:t xml:space="preserve">“Causal Inference in Financial Risk Management: Applications of Counterfactual Analysis in Credit Portfolios.”</w:t>
      </w:r>
      <w:r>
        <w:t xml:space="preserve"> </w:t>
      </w:r>
      <w:r>
        <w:rPr>
          <w:iCs/>
          <w:i/>
        </w:rPr>
        <w:t xml:space="preserve">Financial Engineering and Risk Management</w:t>
      </w:r>
      <w:r>
        <w:t xml:space="preserve"> </w:t>
      </w:r>
      <w:r>
        <w:t xml:space="preserve">8: 6–13.</w:t>
      </w:r>
      <w:r>
        <w:t xml:space="preserve"> </w:t>
      </w:r>
      <w:hyperlink r:id="rId143">
        <w:r>
          <w:rPr>
            <w:rStyle w:val="Hyperlink"/>
          </w:rPr>
          <w:t xml:space="preserve">https://doi.org/10.23977/ferm.2025.080102</w:t>
        </w:r>
      </w:hyperlink>
      <w:r>
        <w:t xml:space="preserve">.</w:t>
      </w:r>
    </w:p>
    <w:bookmarkEnd w:id="144"/>
    <w:bookmarkStart w:id="145" w:name="ref-zhang2026defi"/>
    <w:p>
      <w:pPr>
        <w:pStyle w:val="Bibliography"/>
      </w:pPr>
      <w:r>
        <w:t xml:space="preserve">Zhang, Shiyu, Zining Wang, Jin Zheng, and John Cartlidge. 2026.</w:t>
      </w:r>
      <w:r>
        <w:t xml:space="preserve"> </w:t>
      </w:r>
      <w:r>
        <w:t xml:space="preserve">“Systemic Risk in</w:t>
      </w:r>
      <w:r>
        <w:t xml:space="preserve"> </w:t>
      </w:r>
      <w:r>
        <w:t xml:space="preserve">DeFi</w:t>
      </w:r>
      <w:r>
        <w:t xml:space="preserve">: A Network-Based Fragility Analysis of</w:t>
      </w:r>
      <w:r>
        <w:t xml:space="preserve"> </w:t>
      </w:r>
      <w:r>
        <w:t xml:space="preserve">TVL</w:t>
      </w:r>
      <w:r>
        <w:t xml:space="preserve"> </w:t>
      </w:r>
      <w:r>
        <w:t xml:space="preserve">Dynamics.”</w:t>
      </w:r>
      <w:r>
        <w:t xml:space="preserve"> </w:t>
      </w:r>
      <w:r>
        <w:t xml:space="preserve">arXiv:2601.08540.</w:t>
      </w:r>
    </w:p>
    <w:bookmarkEnd w:id="145"/>
    <w:bookmarkEnd w:id="1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CoinDesk</w:t>
      </w:r>
      <w:r>
        <w:t xml:space="preserve"> </w:t>
      </w:r>
      <w:r>
        <w:t xml:space="preserve">Research,</w:t>
      </w:r>
      <w:r>
        <w:t xml:space="preserve"> </w:t>
      </w:r>
      <w:hyperlink r:id="rId21">
        <w:r>
          <w:rPr>
            <w:rStyle w:val="Hyperlink"/>
          </w:rPr>
          <w:t xml:space="preserve">https://www.coindesk.com/research/market-spotlight-the-19-billion-liquidation-that-shook-crypto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df" /><Relationship Type="http://schemas.openxmlformats.org/officeDocument/2006/relationships/image" Id="rId57" Target="media/rId57.pdf" /><Relationship Type="http://schemas.openxmlformats.org/officeDocument/2006/relationships/image" Id="rId54" Target="media/rId54.pdf" /><Relationship Type="http://schemas.openxmlformats.org/officeDocument/2006/relationships/image" Id="rId43" Target="media/rId43.pdf" /><Relationship Type="http://schemas.openxmlformats.org/officeDocument/2006/relationships/image" Id="rId40" Target="media/rId40.pdf" /><Relationship Type="http://schemas.openxmlformats.org/officeDocument/2006/relationships/hyperlink" Id="rId85" Target="https://doi.org/10.1016/j.econlet.2018.07.039" TargetMode="External" /><Relationship Type="http://schemas.openxmlformats.org/officeDocument/2006/relationships/hyperlink" Id="rId132" Target="https://doi.org/10.1016/j.irfa.2023.102764" TargetMode="External" /><Relationship Type="http://schemas.openxmlformats.org/officeDocument/2006/relationships/hyperlink" Id="rId96" Target="https://doi.org/10.1016/j.jeconom.2014.04.012" TargetMode="External" /><Relationship Type="http://schemas.openxmlformats.org/officeDocument/2006/relationships/hyperlink" Id="rId98" Target="https://doi.org/10.1016/j.jfi.2013.08.001" TargetMode="External" /><Relationship Type="http://schemas.openxmlformats.org/officeDocument/2006/relationships/hyperlink" Id="rId89" Target="https://doi.org/10.1016/j.jfineco.2011.12.010" TargetMode="External" /><Relationship Type="http://schemas.openxmlformats.org/officeDocument/2006/relationships/hyperlink" Id="rId122" Target="https://doi.org/10.1016/j.jfineco.2019.07.001" TargetMode="External" /><Relationship Type="http://schemas.openxmlformats.org/officeDocument/2006/relationships/hyperlink" Id="rId126" Target="https://doi.org/10.1017/CBO9780511803161" TargetMode="External" /><Relationship Type="http://schemas.openxmlformats.org/officeDocument/2006/relationships/hyperlink" Id="rId100" Target="https://doi.org/10.1080/01621459.1983.10477973" TargetMode="External" /><Relationship Type="http://schemas.openxmlformats.org/officeDocument/2006/relationships/hyperlink" Id="rId91" Target="https://doi.org/10.1093/rfs/hhm055" TargetMode="External" /><Relationship Type="http://schemas.openxmlformats.org/officeDocument/2006/relationships/hyperlink" Id="rId81" Target="https://doi.org/10.1093/rfs/hhw088" TargetMode="External" /><Relationship Type="http://schemas.openxmlformats.org/officeDocument/2006/relationships/hyperlink" Id="rId140" Target="https://doi.org/10.1093/rof/rfv028" TargetMode="External" /><Relationship Type="http://schemas.openxmlformats.org/officeDocument/2006/relationships/hyperlink" Id="rId112" Target="https://doi.org/10.1111/jofi.12903" TargetMode="External" /><Relationship Type="http://schemas.openxmlformats.org/officeDocument/2006/relationships/hyperlink" Id="rId93" Target="https://doi.org/10.1111/rssb.12348" TargetMode="External" /><Relationship Type="http://schemas.openxmlformats.org/officeDocument/2006/relationships/hyperlink" Id="rId124" Target="https://doi.org/10.1145/2504730.2504747" TargetMode="External" /><Relationship Type="http://schemas.openxmlformats.org/officeDocument/2006/relationships/hyperlink" Id="rId128" Target="https://doi.org/10.1145/3241036" TargetMode="External" /><Relationship Type="http://schemas.openxmlformats.org/officeDocument/2006/relationships/hyperlink" Id="rId130" Target="https://doi.org/10.1145/3487552.3487811" TargetMode="External" /><Relationship Type="http://schemas.openxmlformats.org/officeDocument/2006/relationships/hyperlink" Id="rId115" Target="https://doi.org/10.1145/3736752" TargetMode="External" /><Relationship Type="http://schemas.openxmlformats.org/officeDocument/2006/relationships/hyperlink" Id="rId117" Target="https://doi.org/10.1214/aos/1176347265" TargetMode="External" /><Relationship Type="http://schemas.openxmlformats.org/officeDocument/2006/relationships/hyperlink" Id="rId83" Target="https://doi.org/10.1257/aer.20120555" TargetMode="External" /><Relationship Type="http://schemas.openxmlformats.org/officeDocument/2006/relationships/hyperlink" Id="rId79" Target="https://doi.org/10.1257/aer.20130456" TargetMode="External" /><Relationship Type="http://schemas.openxmlformats.org/officeDocument/2006/relationships/hyperlink" Id="rId108" Target="https://doi.org/10.1257/jel.20151228" TargetMode="External" /><Relationship Type="http://schemas.openxmlformats.org/officeDocument/2006/relationships/hyperlink" Id="rId102" Target="https://doi.org/10.1287/mnsc.47.2.236.9835" TargetMode="External" /><Relationship Type="http://schemas.openxmlformats.org/officeDocument/2006/relationships/hyperlink" Id="rId136" Target="https://doi.org/10.1515/9781400881970-018" TargetMode="External" /><Relationship Type="http://schemas.openxmlformats.org/officeDocument/2006/relationships/hyperlink" Id="rId110" Target="https://doi.org/10.2307/1912791" TargetMode="External" /><Relationship Type="http://schemas.openxmlformats.org/officeDocument/2006/relationships/hyperlink" Id="rId143" Target="https://doi.org/10.23977/ferm.2025.080102" TargetMode="External" /><Relationship Type="http://schemas.openxmlformats.org/officeDocument/2006/relationships/hyperlink" Id="rId120" Target="https://doi.org/10.3386/w31160" TargetMode="External" /><Relationship Type="http://schemas.openxmlformats.org/officeDocument/2006/relationships/hyperlink" Id="rId106" Target="https://doi.org/10.3390/risks6030095" TargetMode="External" /><Relationship Type="http://schemas.openxmlformats.org/officeDocument/2006/relationships/hyperlink" Id="rId21" Target="https://www.coindesk.com/research/market-spotlight-the-19-billion-liquidation-that-shook-cryp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doi.org/10.1016/j.econlet.2018.07.039" TargetMode="External" /><Relationship Type="http://schemas.openxmlformats.org/officeDocument/2006/relationships/hyperlink" Id="rId132" Target="https://doi.org/10.1016/j.irfa.2023.102764" TargetMode="External" /><Relationship Type="http://schemas.openxmlformats.org/officeDocument/2006/relationships/hyperlink" Id="rId96" Target="https://doi.org/10.1016/j.jeconom.2014.04.012" TargetMode="External" /><Relationship Type="http://schemas.openxmlformats.org/officeDocument/2006/relationships/hyperlink" Id="rId98" Target="https://doi.org/10.1016/j.jfi.2013.08.001" TargetMode="External" /><Relationship Type="http://schemas.openxmlformats.org/officeDocument/2006/relationships/hyperlink" Id="rId89" Target="https://doi.org/10.1016/j.jfineco.2011.12.010" TargetMode="External" /><Relationship Type="http://schemas.openxmlformats.org/officeDocument/2006/relationships/hyperlink" Id="rId122" Target="https://doi.org/10.1016/j.jfineco.2019.07.001" TargetMode="External" /><Relationship Type="http://schemas.openxmlformats.org/officeDocument/2006/relationships/hyperlink" Id="rId126" Target="https://doi.org/10.1017/CBO9780511803161" TargetMode="External" /><Relationship Type="http://schemas.openxmlformats.org/officeDocument/2006/relationships/hyperlink" Id="rId100" Target="https://doi.org/10.1080/01621459.1983.10477973" TargetMode="External" /><Relationship Type="http://schemas.openxmlformats.org/officeDocument/2006/relationships/hyperlink" Id="rId91" Target="https://doi.org/10.1093/rfs/hhm055" TargetMode="External" /><Relationship Type="http://schemas.openxmlformats.org/officeDocument/2006/relationships/hyperlink" Id="rId81" Target="https://doi.org/10.1093/rfs/hhw088" TargetMode="External" /><Relationship Type="http://schemas.openxmlformats.org/officeDocument/2006/relationships/hyperlink" Id="rId140" Target="https://doi.org/10.1093/rof/rfv028" TargetMode="External" /><Relationship Type="http://schemas.openxmlformats.org/officeDocument/2006/relationships/hyperlink" Id="rId112" Target="https://doi.org/10.1111/jofi.12903" TargetMode="External" /><Relationship Type="http://schemas.openxmlformats.org/officeDocument/2006/relationships/hyperlink" Id="rId93" Target="https://doi.org/10.1111/rssb.12348" TargetMode="External" /><Relationship Type="http://schemas.openxmlformats.org/officeDocument/2006/relationships/hyperlink" Id="rId124" Target="https://doi.org/10.1145/2504730.2504747" TargetMode="External" /><Relationship Type="http://schemas.openxmlformats.org/officeDocument/2006/relationships/hyperlink" Id="rId128" Target="https://doi.org/10.1145/3241036" TargetMode="External" /><Relationship Type="http://schemas.openxmlformats.org/officeDocument/2006/relationships/hyperlink" Id="rId130" Target="https://doi.org/10.1145/3487552.3487811" TargetMode="External" /><Relationship Type="http://schemas.openxmlformats.org/officeDocument/2006/relationships/hyperlink" Id="rId115" Target="https://doi.org/10.1145/3736752" TargetMode="External" /><Relationship Type="http://schemas.openxmlformats.org/officeDocument/2006/relationships/hyperlink" Id="rId117" Target="https://doi.org/10.1214/aos/1176347265" TargetMode="External" /><Relationship Type="http://schemas.openxmlformats.org/officeDocument/2006/relationships/hyperlink" Id="rId83" Target="https://doi.org/10.1257/aer.20120555" TargetMode="External" /><Relationship Type="http://schemas.openxmlformats.org/officeDocument/2006/relationships/hyperlink" Id="rId79" Target="https://doi.org/10.1257/aer.20130456" TargetMode="External" /><Relationship Type="http://schemas.openxmlformats.org/officeDocument/2006/relationships/hyperlink" Id="rId108" Target="https://doi.org/10.1257/jel.20151228" TargetMode="External" /><Relationship Type="http://schemas.openxmlformats.org/officeDocument/2006/relationships/hyperlink" Id="rId102" Target="https://doi.org/10.1287/mnsc.47.2.236.9835" TargetMode="External" /><Relationship Type="http://schemas.openxmlformats.org/officeDocument/2006/relationships/hyperlink" Id="rId136" Target="https://doi.org/10.1515/9781400881970-018" TargetMode="External" /><Relationship Type="http://schemas.openxmlformats.org/officeDocument/2006/relationships/hyperlink" Id="rId110" Target="https://doi.org/10.2307/1912791" TargetMode="External" /><Relationship Type="http://schemas.openxmlformats.org/officeDocument/2006/relationships/hyperlink" Id="rId143" Target="https://doi.org/10.23977/ferm.2025.080102" TargetMode="External" /><Relationship Type="http://schemas.openxmlformats.org/officeDocument/2006/relationships/hyperlink" Id="rId120" Target="https://doi.org/10.3386/w31160" TargetMode="External" /><Relationship Type="http://schemas.openxmlformats.org/officeDocument/2006/relationships/hyperlink" Id="rId106" Target="https://doi.org/10.3390/risks6030095" TargetMode="External" /><Relationship Type="http://schemas.openxmlformats.org/officeDocument/2006/relationships/hyperlink" Id="rId21" Target="https://www.coindesk.com/research/market-spotlight-the-19-billion-liquidation-that-shook-cryp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Counterfactual Attribution of Crypto Systemic Stress on a Ledger-Specified Causal Graph: Methods and a Cautionary Benchmark</dc:title>
  <dc:creator>Anonymous</dc:creator>
  <cp:keywords/>
  <dcterms:created xsi:type="dcterms:W3CDTF">2026-10-12T12:23:46Z</dcterms:created>
  <dcterms:modified xsi:type="dcterms:W3CDTF">2026-10-12T12:23:46Z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</Properties>
</file>