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df" ContentType="application/pdf"/>
  <Override PartName="/word/media/rId77.pdf" ContentType="application/pdf"/>
  <Override PartName="/word/media/rId53.pdf" ContentType="application/pdf"/>
  <Override PartName="/word/media/rId57.pdf" ContentType="application/pdf"/>
  <Override PartName="/word/media/rId65.pdf" ContentType="application/pdf"/>
  <Override PartName="/word/media/rId62.pdf" ContentType="application/pdf"/>
  <Override PartName="/word/media/rId81.pdf" ContentType="application/pdf"/>
  <Override PartName="/word/media/rId72.pdf" ContentType="application/pdf"/>
  <Override PartName="/word/media/rId45.pdf" ContentType="application/pdf"/>
  <Override PartName="/word/media/rId4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VEIN:</w:t>
      </w:r>
      <w:r>
        <w:t xml:space="preserve"> </w:t>
      </w:r>
      <w:r>
        <w:t xml:space="preserve">On-Chain</w:t>
      </w:r>
      <w:r>
        <w:t xml:space="preserve"> </w:t>
      </w:r>
      <w:r>
        <w:t xml:space="preserve">Causal</w:t>
      </w:r>
      <w:r>
        <w:t xml:space="preserve"> </w:t>
      </w:r>
      <w:r>
        <w:t xml:space="preserve">Risk</w:t>
      </w:r>
      <w:r>
        <w:t xml:space="preserve"> </w:t>
      </w:r>
      <w:r>
        <w:t xml:space="preserve">Attribution</w:t>
      </w:r>
      <w:r>
        <w:t xml:space="preserve"> </w:t>
      </w:r>
      <w:r>
        <w:t xml:space="preserve">for</w:t>
      </w:r>
      <w:r>
        <w:t xml:space="preserve"> </w:t>
      </w:r>
      <w:r>
        <w:t xml:space="preserve">Cryptocurrency</w:t>
      </w:r>
      <w:r>
        <w:t xml:space="preserve"> </w:t>
      </w:r>
      <w:r>
        <w:t xml:space="preserve">Systemic</w:t>
      </w:r>
      <w:r>
        <w:t xml:space="preserve"> </w:t>
      </w:r>
      <w:r>
        <w:t xml:space="preserve">Risk</w:t>
      </w:r>
    </w:p>
    <w:bookmarkStart w:id="31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On 10–11 October 2025, cryptocurrency markets experienced the largest</w:t>
      </w:r>
      <w:r>
        <w:t xml:space="preserve"> </w:t>
      </w:r>
      <w:r>
        <w:t xml:space="preserve">deleveraging event in their history: on the order of nineteen billion US</w:t>
      </w:r>
      <w:r>
        <w:t xml:space="preserve"> </w:t>
      </w:r>
      <w:r>
        <w:t xml:space="preserve">dollars of leveraged positions were liquidated within thirty-six</w:t>
      </w:r>
      <w:r>
        <w:t xml:space="preserve"> </w:t>
      </w:r>
      <w:r>
        <w:t xml:space="preserve">hours.</w:t>
      </w:r>
      <w:r>
        <w:rPr>
          <w:rStyle w:val="FootnoteReference"/>
        </w:rPr>
        <w:footnoteReference w:id="20"/>
      </w:r>
      <w:r>
        <w:t xml:space="preserve"> </w:t>
      </w:r>
      <w:r>
        <w:t xml:space="preserve">Early scholarly post-mortems of the episode</w:t>
      </w:r>
      <w:r>
        <w:t xml:space="preserve"> </w:t>
      </w:r>
      <w:r>
        <w:t xml:space="preserve">(Ali 2025; Lim 2026)</w:t>
      </w:r>
      <w:r>
        <w:t xml:space="preserve"> </w:t>
      </w:r>
      <w:r>
        <w:t xml:space="preserve">document a striking feature that sets it apart from the 2022 episodes</w:t>
      </w:r>
      <w:r>
        <w:t xml:space="preserve"> </w:t>
      </w:r>
      <w:r>
        <w:t xml:space="preserve">(Terra/Luna, Celsius, FTX): whereas those were rooted in fundamental</w:t>
      </w:r>
      <w:r>
        <w:t xml:space="preserve"> </w:t>
      </w:r>
      <w:r>
        <w:t xml:space="preserve">insolvency, the October 2025 cascade was largely</w:t>
      </w:r>
      <w:r>
        <w:t xml:space="preserve"> </w:t>
      </w:r>
      <w:r>
        <w:rPr>
          <w:iCs/>
          <w:i/>
        </w:rPr>
        <w:t xml:space="preserve">mechanical</w:t>
      </w:r>
      <w:r>
        <w:t xml:space="preserve">. A mispricing</w:t>
      </w:r>
      <w:r>
        <w:t xml:space="preserve"> </w:t>
      </w:r>
      <w:r>
        <w:t xml:space="preserve">in a centralised exchange’s internal valuation engine</w:t>
      </w:r>
      <w:r>
        <w:rPr>
          <w:rStyle w:val="FootnoteReference"/>
        </w:rPr>
        <w:footnoteReference w:id="24"/>
      </w:r>
      <w:r>
        <w:t xml:space="preserve"> </w:t>
      </w:r>
      <w:r>
        <w:t xml:space="preserve">propagated into automated liquidations, which in turn forced sales that</w:t>
      </w:r>
      <w:r>
        <w:t xml:space="preserve"> </w:t>
      </w:r>
      <w:r>
        <w:t xml:space="preserve">depressed prices and triggered further liquidations—a classic</w:t>
      </w:r>
      <w:r>
        <w:t xml:space="preserve"> </w:t>
      </w:r>
      <w:r>
        <w:t xml:space="preserve">funding-liquidity spiral operating at machine speed. A defining feature was</w:t>
      </w:r>
      <w:r>
        <w:t xml:space="preserve"> </w:t>
      </w:r>
      <w:r>
        <w:t xml:space="preserve">architectural: decentralised finance (DeFi) lending protocols with transparent,</w:t>
      </w:r>
      <w:r>
        <w:t xml:space="preserve"> </w:t>
      </w:r>
      <w:r>
        <w:t xml:space="preserve">over-collateralised positions (e.g. Aave) emerged with essentially zero bad</w:t>
      </w:r>
      <w:r>
        <w:t xml:space="preserve"> </w:t>
      </w:r>
      <w:r>
        <w:t xml:space="preserve">debt, whereas centralised-exchange (CEX) risk engines amplified the shock. The</w:t>
      </w:r>
      <w:r>
        <w:t xml:space="preserve"> </w:t>
      </w:r>
      <w:r>
        <w:t xml:space="preserve">synchronised depeg of the synthetic dollar USDe—which remained fully solvent</w:t>
      </w:r>
      <w:r>
        <w:t xml:space="preserve"> </w:t>
      </w:r>
      <w:r>
        <w:t xml:space="preserve">throughout, so that the depeg was a pricing and liquidity artefact rather than a</w:t>
      </w:r>
      <w:r>
        <w:t xml:space="preserve"> </w:t>
      </w:r>
      <w:r>
        <w:t xml:space="preserve">default—is emblematic of this architecture-dependent</w:t>
      </w:r>
      <w:r>
        <w:t xml:space="preserve"> </w:t>
      </w:r>
      <w:r>
        <w:t xml:space="preserve">fragility.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Crucially for risk measurement, the proximate mechanism left a high-resolution</w:t>
      </w:r>
      <w:r>
        <w:t xml:space="preserve"> </w:t>
      </w:r>
      <w:r>
        <w:t xml:space="preserve">footprint</w:t>
      </w:r>
      <w:r>
        <w:t xml:space="preserve"> </w:t>
      </w:r>
      <w:r>
        <w:rPr>
          <w:iCs/>
          <w:i/>
        </w:rPr>
        <w:t xml:space="preserve">on chain</w:t>
      </w:r>
      <w:r>
        <w:t xml:space="preserve">: liquidation transfers, collateral movements, and</w:t>
      </w:r>
      <w:r>
        <w:t xml:space="preserve"> </w:t>
      </w:r>
      <w:r>
        <w:t xml:space="preserve">exchange in/out-flows are all recorded, timestamped to the block, in a public</w:t>
      </w:r>
      <w:r>
        <w:t xml:space="preserve"> </w:t>
      </w:r>
      <w:r>
        <w:t xml:space="preserve">ledger.</w:t>
      </w:r>
    </w:p>
    <w:p>
      <w:pPr>
        <w:pStyle w:val="BodyText"/>
      </w:pPr>
      <w:r>
        <w:t xml:space="preserve">Such episodes expose a structural weakness in how systemic risk is measured for</w:t>
      </w:r>
      <w:r>
        <w:t xml:space="preserve"> </w:t>
      </w:r>
      <w:r>
        <w:t xml:space="preserve">crypto markets. The dominant tools—the change in Value-at-Risk conditional on</w:t>
      </w:r>
      <w:r>
        <w:t xml:space="preserve"> </w:t>
      </w:r>
      <w:r>
        <w:t xml:space="preserve">distress (</w:t>
      </w:r>
      <m:oMath>
        <m:r>
          <m:t>Δ</m:t>
        </m:r>
      </m:oMath>
      <w:r>
        <w:t xml:space="preserve">CoVaR, for Conditional Value-at-Risk)</w:t>
      </w:r>
      <w:r>
        <w:t xml:space="preserve"> </w:t>
      </w:r>
      <w:r>
        <w:t xml:space="preserve">(Adrian and Brunnermeier 2016)</w:t>
      </w:r>
      <w:r>
        <w:t xml:space="preserve">,</w:t>
      </w:r>
      <w:r>
        <w:t xml:space="preserve"> </w:t>
      </w:r>
      <w:r>
        <w:t xml:space="preserve">marginal expected shortfall (MES) and SRISK</w:t>
      </w:r>
      <w:r>
        <w:t xml:space="preserve"> </w:t>
      </w:r>
      <w:r>
        <w:t xml:space="preserve">(Acharya et al. 2017)</w:t>
      </w:r>
      <w:r>
        <w:t xml:space="preserve">, and</w:t>
      </w:r>
      <w:r>
        <w:t xml:space="preserve"> </w:t>
      </w:r>
      <w:r>
        <w:t xml:space="preserve">variance-decomposition connectedness</w:t>
      </w:r>
      <w:r>
        <w:t xml:space="preserve"> </w:t>
      </w:r>
      <w:r>
        <w:t xml:space="preserve">(Diebold and Yılmaz 2014; Billio et al. 2012)</w:t>
      </w:r>
      <w:r>
        <w:t xml:space="preserve">—are</w:t>
      </w:r>
      <w:r>
        <w:t xml:space="preserve"> </w:t>
      </w:r>
      <w:r>
        <w:rPr>
          <w:iCs/>
          <w:i/>
        </w:rPr>
        <w:t xml:space="preserve">associational</w:t>
      </w:r>
      <w:r>
        <w:t xml:space="preserve">:</w:t>
      </w:r>
      <w:r>
        <w:t xml:space="preserve"> </w:t>
      </w:r>
      <w:r>
        <w:t xml:space="preserve">they quantify co-movement in returns and, as their own authors note, capture an</w:t>
      </w:r>
      <w:r>
        <w:t xml:space="preserve"> </w:t>
      </w:r>
      <w:r>
        <w:t xml:space="preserve">institution’s contribution to system risk</w:t>
      </w:r>
      <w:r>
        <w:t xml:space="preserve"> </w:t>
      </w:r>
      <w:r>
        <w:t xml:space="preserve">“</w:t>
      </w:r>
      <w:r>
        <w:t xml:space="preserve">in a non-causal sense</w:t>
      </w:r>
      <w:r>
        <w:t xml:space="preserve">”</w:t>
      </w:r>
      <w:r>
        <w:t xml:space="preserve"> </w:t>
      </w:r>
      <w:r>
        <w:t xml:space="preserve">(Adrian and Brunnermeier 2016)</w:t>
      </w:r>
      <w:r>
        <w:t xml:space="preserve">. A recent and comprehensive survey of causal inference in</w:t>
      </w:r>
      <w:r>
        <w:t xml:space="preserve"> </w:t>
      </w:r>
      <w:r>
        <w:t xml:space="preserve">finance</w:t>
      </w:r>
      <w:r>
        <w:t xml:space="preserve"> </w:t>
      </w:r>
      <w:r>
        <w:t xml:space="preserve">(Kumar et al. 2025)</w:t>
      </w:r>
      <w:r>
        <w:t xml:space="preserve"> </w:t>
      </w:r>
      <w:r>
        <w:t xml:space="preserve">confirms the pattern at the level of the</w:t>
      </w:r>
      <w:r>
        <w:t xml:space="preserve"> </w:t>
      </w:r>
      <w:r>
        <w:t xml:space="preserve">whole field: applications around SRISK, MES and CoVaR remain confined to</w:t>
      </w:r>
      <w:r>
        <w:t xml:space="preserve"> </w:t>
      </w:r>
      <w:r>
        <w:t xml:space="preserve">association and Granger causality, with no counterfactual systemic-risk measure.</w:t>
      </w:r>
      <w:r>
        <w:t xml:space="preserve"> </w:t>
      </w:r>
      <w:r>
        <w:t xml:space="preserve">Where causality has been injected, the graph is still</w:t>
      </w:r>
      <w:r>
        <w:t xml:space="preserve"> </w:t>
      </w:r>
      <w:r>
        <w:rPr>
          <w:iCs/>
          <w:i/>
        </w:rPr>
        <w:t xml:space="preserve">estimated from</w:t>
      </w:r>
      <w:r>
        <w:rPr>
          <w:iCs/>
          <w:i/>
        </w:rPr>
        <w:t xml:space="preserve"> </w:t>
      </w:r>
      <w:r>
        <w:rPr>
          <w:iCs/>
          <w:i/>
        </w:rPr>
        <w:t xml:space="preserve">prices</w:t>
      </w:r>
      <w:r>
        <w:t xml:space="preserve">. Causal-NECO VaR</w:t>
      </w:r>
      <w:r>
        <w:t xml:space="preserve"> </w:t>
      </w:r>
      <w:r>
        <w:t xml:space="preserve">(Rigana, Wit, and Cook 2024, 2023)</w:t>
      </w:r>
      <w:r>
        <w:t xml:space="preserve"> </w:t>
      </w:r>
      <w:r>
        <w:t xml:space="preserve">learns a contagion</w:t>
      </w:r>
      <w:r>
        <w:t xml:space="preserve"> </w:t>
      </w:r>
      <w:r>
        <w:t xml:space="preserve">graph from foreign-exchange returns using the order-independent PC-stable</w:t>
      </w:r>
      <w:r>
        <w:t xml:space="preserve"> </w:t>
      </w:r>
      <w:r>
        <w:t xml:space="preserve">algorithm (a constraint-based causal-structure-discovery algorithm)</w:t>
      </w:r>
      <w:r>
        <w:t xml:space="preserve"> </w:t>
      </w:r>
      <w:r>
        <w:t xml:space="preserve">(Colombo and Maathuis 2014; Spirtes, Glymour, and Scheines 2000)</w:t>
      </w:r>
      <w:r>
        <w:t xml:space="preserve"> </w:t>
      </w:r>
      <w:r>
        <w:t xml:space="preserve">and computes a</w:t>
      </w:r>
      <w:r>
        <w:t xml:space="preserve"> </w:t>
      </w:r>
      <w:r>
        <w:t xml:space="preserve">value-at-risk from the resulting SCM; the time-varying directed-information</w:t>
      </w:r>
      <w:r>
        <w:t xml:space="preserve"> </w:t>
      </w:r>
      <w:r>
        <w:t xml:space="preserve">graph (TV-DIG) of Etesami et al. </w:t>
      </w:r>
      <w:r>
        <w:t xml:space="preserve">(2023)</w:t>
      </w:r>
      <w:r>
        <w:t xml:space="preserve"> </w:t>
      </w:r>
      <w:r>
        <w:t xml:space="preserve">builds directed</w:t>
      </w:r>
      <w:r>
        <w:t xml:space="preserve"> </w:t>
      </w:r>
      <w:r>
        <w:t xml:space="preserve">networks—an information-theoretic generalisation of Granger causality</w:t>
      </w:r>
      <w:r>
        <w:t xml:space="preserve"> </w:t>
      </w:r>
      <w:r>
        <w:t xml:space="preserve">(Granger 1969)</w:t>
      </w:r>
      <w:r>
        <w:t xml:space="preserve">—across financial sectors including cryptocurrencies; and</w:t>
      </w:r>
      <w:r>
        <w:t xml:space="preserve"> </w:t>
      </w:r>
      <w:r>
        <w:t xml:space="preserve">correlation-network models such as CoRisk</w:t>
      </w:r>
      <w:r>
        <w:t xml:space="preserve"> </w:t>
      </w:r>
      <w:r>
        <w:t xml:space="preserve">(Giudici and Parisi 2018)</w:t>
      </w:r>
      <w:r>
        <w:t xml:space="preserve"> </w:t>
      </w:r>
      <w:r>
        <w:t xml:space="preserve">decompose</w:t>
      </w:r>
      <w:r>
        <w:t xml:space="preserve"> </w:t>
      </w:r>
      <w:r>
        <w:t xml:space="preserve">systemic risk into idiosyncratic and contagion components. The crypto-specific</w:t>
      </w:r>
      <w:r>
        <w:t xml:space="preserve"> </w:t>
      </w:r>
      <w:r>
        <w:t xml:space="preserve">literature has grown rapidly in 2025–2026, from composite indices such as ASRI</w:t>
      </w:r>
      <w:r>
        <w:t xml:space="preserve"> </w:t>
      </w:r>
      <w:r>
        <w:t xml:space="preserve">(Farzulla and Maksakov 2026)</w:t>
      </w:r>
      <w:r>
        <w:t xml:space="preserve"> </w:t>
      </w:r>
      <w:r>
        <w:t xml:space="preserve">to network-fragility and TradFi–DeFi</w:t>
      </w:r>
      <w:r>
        <w:t xml:space="preserve"> </w:t>
      </w:r>
      <w:r>
        <w:t xml:space="preserve">“</w:t>
      </w:r>
      <w:r>
        <w:t xml:space="preserve">crosstagion</w:t>
      </w:r>
      <w:r>
        <w:t xml:space="preserve">”</w:t>
      </w:r>
      <w:r>
        <w:t xml:space="preserve"> </w:t>
      </w:r>
      <w:r>
        <w:t xml:space="preserve">mappings</w:t>
      </w:r>
      <w:r>
        <w:t xml:space="preserve"> </w:t>
      </w:r>
      <w:r>
        <w:t xml:space="preserve">(Aufiero et al. 2025)</w:t>
      </w:r>
      <w:r>
        <w:t xml:space="preserve">; yet all of this work either</w:t>
      </w:r>
      <w:r>
        <w:t xml:space="preserve"> </w:t>
      </w:r>
      <w:r>
        <w:t xml:space="preserve">estimates the network from returns or treats the on-chain graph descriptively.</w:t>
      </w:r>
      <w:r>
        <w:t xml:space="preserve"> </w:t>
      </w:r>
      <w:r>
        <w:t xml:space="preserve">No published method exploits the one data source where the contagion mechanism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directly observed</w:t>
      </w:r>
      <w:r>
        <w:t xml:space="preserve">—the blockchain ledger—as a causal structure.</w:t>
      </w:r>
    </w:p>
    <w:p>
      <w:pPr>
        <w:pStyle w:val="BodyText"/>
      </w:pPr>
      <w:r>
        <w:t xml:space="preserve">On-chain transaction graphs have, separately, been used for prediction and</w:t>
      </w:r>
      <w:r>
        <w:t xml:space="preserve"> </w:t>
      </w:r>
      <w:r>
        <w:t xml:space="preserve">forensics—</w:t>
      </w:r>
      <w:r>
        <w:t xml:space="preserve">“</w:t>
      </w:r>
      <w:r>
        <w:t xml:space="preserve">chainlets</w:t>
      </w:r>
      <w:r>
        <w:t xml:space="preserve">”</w:t>
      </w:r>
      <w:r>
        <w:t xml:space="preserve"> </w:t>
      </w:r>
      <w:r>
        <w:t xml:space="preserve">that forecast Bitcoin price and volatility</w:t>
      </w:r>
      <w:r>
        <w:t xml:space="preserve"> </w:t>
      </w:r>
      <w:r>
        <w:t xml:space="preserve">(Akcora et al. 2018)</w:t>
      </w:r>
      <w:r>
        <w:t xml:space="preserve">, and address-clustering for anti-money-laundering</w:t>
      </w:r>
      <w:r>
        <w:t xml:space="preserve"> </w:t>
      </w:r>
      <w:r>
        <w:t xml:space="preserve">(Meiklejohn et al. 2013; Weber et al. 2019)</w:t>
      </w:r>
      <w:r>
        <w:t xml:space="preserve">—but always observationally,</w:t>
      </w:r>
      <w:r>
        <w:t xml:space="preserve"> </w:t>
      </w:r>
      <w:r>
        <w:t xml:space="preserve">explicitly disclaiming a causal-structural interpretation, and never as the</w:t>
      </w:r>
      <w:r>
        <w:t xml:space="preserve"> </w:t>
      </w:r>
      <w:r>
        <w:t xml:space="preserve">backbone of a systemic-risk measure. And although Pearl’s causal hierarchy</w:t>
      </w:r>
      <w:r>
        <w:t xml:space="preserve"> </w:t>
      </w:r>
      <w:r>
        <w:t xml:space="preserve">(Pearl 2009, 2019)</w:t>
      </w:r>
      <w:r>
        <w:t xml:space="preserve"> </w:t>
      </w:r>
      <w:r>
        <w:t xml:space="preserve">places counterfactuals (Level 3) above</w:t>
      </w:r>
      <w:r>
        <w:t xml:space="preserve"> </w:t>
      </w:r>
      <w:r>
        <w:t xml:space="preserve">interventions (Level 2) above association (Level 1), no systemic-risk measure in</w:t>
      </w:r>
      <w:r>
        <w:t xml:space="preserve"> </w:t>
      </w:r>
      <w:r>
        <w:t xml:space="preserve">finance operates above Level 2. There is, in short, an open intersection: an</w:t>
      </w:r>
      <w:r>
        <w:t xml:space="preserve"> </w:t>
      </w:r>
      <w:r>
        <w:t xml:space="preserve">observed-graph SCM for crypto systemic risk, extended to the counterfactual</w:t>
      </w:r>
      <w:r>
        <w:t xml:space="preserve"> </w:t>
      </w:r>
      <w:r>
        <w:t xml:space="preserve">level. This paper occupies it.</w:t>
      </w:r>
    </w:p>
    <w:p>
      <w:pPr>
        <w:pStyle w:val="BodyText"/>
      </w:pPr>
      <w:r>
        <w:t xml:space="preserve">We make three contributions. First, we propose VEIN, which treats the</w:t>
      </w:r>
      <w:r>
        <w:t xml:space="preserve"> </w:t>
      </w:r>
      <w:r>
        <w:t xml:space="preserve">entity-resolved on-chain transaction graph as an</w:t>
      </w:r>
      <w:r>
        <w:t xml:space="preserve"> </w:t>
      </w:r>
      <w:r>
        <w:rPr>
          <w:iCs/>
          <w:i/>
        </w:rPr>
        <w:t xml:space="preserve">auditable candidate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skeleton</w:t>
      </w:r>
      <w:r>
        <w:t xml:space="preserve"> </w:t>
      </w:r>
      <w:r>
        <w:t xml:space="preserve">for a Pearl SCM: under explicit edge-type and timing</w:t>
      </w:r>
      <w:r>
        <w:t xml:space="preserve"> </w:t>
      </w:r>
      <w:r>
        <w:t xml:space="preserve">assumptions (A1–A3, Section </w:t>
      </w:r>
      <w:hyperlink w:anchor="sec:method">
        <w:r>
          <w:rPr>
            <w:rStyle w:val="Hyperlink"/>
          </w:rPr>
          <w:t xml:space="preserve">3</w:t>
        </w:r>
      </w:hyperlink>
      <w:r>
        <w:t xml:space="preserve">), the in-neighbour set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of each entity is</w:t>
      </w:r>
      <w:r>
        <w:t xml:space="preserve"> </w:t>
      </w:r>
      <w:r>
        <w:rPr>
          <w:iCs/>
          <w:i/>
        </w:rPr>
        <w:t xml:space="preserve">specified from the resolved ledger</w:t>
      </w:r>
      <w:r>
        <w:t xml:space="preserve"> </w:t>
      </w:r>
      <w:r>
        <w:t xml:space="preserve">rather than</w:t>
      </w:r>
      <w:r>
        <w:t xml:space="preserve"> </w:t>
      </w:r>
      <w:r>
        <w:t xml:space="preserve">inferred from price correlations; block timestamps make the temporal ordering</w:t>
      </w:r>
      <w:r>
        <w:t xml:space="preserve"> </w:t>
      </w:r>
      <w:r>
        <w:t xml:space="preserve">of on-chain transactions observable, reducing—though not eliminating—the</w:t>
      </w:r>
      <w:r>
        <w:t xml:space="preserve"> </w:t>
      </w:r>
      <w:r>
        <w:t xml:space="preserve">timing ambiguity that price-based methods must instead assume away. Second, we define</w:t>
      </w:r>
      <w:r>
        <w:t xml:space="preserve"> </w:t>
      </w:r>
      <w:r>
        <w:t xml:space="preserve">On-Chain Causal CoVaR (OC-CoVaR), an interventional (Level-2) measure via the</w:t>
      </w:r>
      <w:r>
        <w:t xml:space="preserve"> </w:t>
      </w:r>
      <w:r>
        <w:t xml:space="preserve">do-operator, together with a counterfactual (Level-3) attribution measure that</w:t>
      </w:r>
      <w:r>
        <w:t xml:space="preserve"> </w:t>
      </w:r>
      <w:r>
        <w:t xml:space="preserve">decomposes a</w:t>
      </w:r>
      <w:r>
        <w:t xml:space="preserve"> </w:t>
      </w:r>
      <w:r>
        <w:t xml:space="preserve">realised loss into the share attributable to a specific upstream entity through</w:t>
      </w:r>
      <w:r>
        <w:t xml:space="preserve"> </w:t>
      </w:r>
      <w:r>
        <w:t xml:space="preserve">the standard abduction–action–prediction procedure. Third, we implement the</w:t>
      </w:r>
      <w:r>
        <w:t xml:space="preserve"> </w:t>
      </w:r>
      <w:r>
        <w:t xml:space="preserve">full pipeline—including a four-tier entity-resolution layer over real decoded</w:t>
      </w:r>
      <w:r>
        <w:t xml:space="preserve"> </w:t>
      </w:r>
      <w:r>
        <w:t xml:space="preserve">Ethereum data—and evaluate it on the October 2025 event against</w:t>
      </w:r>
      <w:r>
        <w:t xml:space="preserve"> </w:t>
      </w:r>
      <w:r>
        <w:t xml:space="preserve">price-estimated graphs and standard non-causal baselines, subjecting every</w:t>
      </w:r>
      <w:r>
        <w:t xml:space="preserve"> </w:t>
      </w:r>
      <w:r>
        <w:t xml:space="preserve">causal claim to a falsification and validity battery and reporting negative</w:t>
      </w:r>
      <w:r>
        <w:t xml:space="preserve"> </w:t>
      </w:r>
      <w:r>
        <w:t xml:space="preserve">results as readily as positive ones. The evaluation is organised around the five</w:t>
      </w:r>
      <w:r>
        <w:t xml:space="preserve"> </w:t>
      </w:r>
      <w:r>
        <w:t xml:space="preserve">hypotheses in Table </w:t>
      </w:r>
      <w:hyperlink w:anchor="tab:hyp">
        <w:r>
          <w:rPr>
            <w:rStyle w:val="Hyperlink"/>
          </w:rPr>
          <w:t xml:space="preserve">1</w:t>
        </w:r>
      </w:hyperlink>
      <w:r>
        <w:t xml:space="preserve">, each paired in Section </w:t>
      </w:r>
      <w:hyperlink w:anchor="sec:result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the test and falsification criterion that would overturn it.</w:t>
      </w:r>
    </w:p>
    <w:bookmarkStart w:id="30" w:name="tab:hyp"/>
    <w:p>
      <w:pPr>
        <w:pStyle w:val="TableCaption"/>
      </w:pPr>
      <w:r>
        <w:t xml:space="preserve">Hypotheses evaluated in this paper.</w:t>
      </w:r>
    </w:p>
    <w:tbl>
      <w:tblPr>
        <w:tblStyle w:val="Table"/>
        <w:tblW w:type="pct" w:w="4500"/>
        <w:tblLook w:firstRow="1" w:lastRow="0" w:firstColumn="0" w:lastColumn="0" w:noHBand="0" w:noVBand="0" w:val="0020"/>
        <w:jc w:val="start"/>
        <w:tblCaption w:val="Hypotheses evaluated in this paper."/>
      </w:tblPr>
      <w:tblGrid>
        <w:gridCol w:w="475"/>
        <w:gridCol w:w="66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observed on-chain flow graph predicts stress propagation more accurately than a graph statistically estimated from price returns.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custodial settlement networks, connectivity rather than flow direction predicts stress propagation (edge reversal is near-neutral).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directional, failure-origin or depeg events, reversing flow-edge direction degrades predictive accuracy (assumption A3 holds).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OC-CoVaR identifies a different set of systemically important entities than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CoVaR/MES applied to returns.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counterfactual measure decomposes the October 2025 losses into mechanically interpretable components.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On-chain composability/collateral edges add loss-attribution information beyond price correlation.</w:t>
            </w:r>
          </w:p>
        </w:tc>
      </w:tr>
    </w:tbl>
    <w:bookmarkEnd w:id="30"/>
    <w:p>
      <w:pPr>
        <w:pStyle w:val="BodyText"/>
      </w:pPr>
      <w:r>
        <w:t xml:space="preserve">The remainder of the paper is organised as follows.</w:t>
      </w:r>
      <w:r>
        <w:t xml:space="preserve"> </w:t>
      </w:r>
      <w:r>
        <w:t xml:space="preserve">Section 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positions VEIN against the causal and on-chain</w:t>
      </w:r>
      <w:r>
        <w:t xml:space="preserve"> </w:t>
      </w:r>
      <w:r>
        <w:t xml:space="preserve">literatures. Section </w:t>
      </w:r>
      <w:hyperlink w:anchor="sec:metho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develops the framework formally.</w:t>
      </w:r>
      <w:r>
        <w:t xml:space="preserve"> </w:t>
      </w:r>
      <w:r>
        <w:t xml:space="preserve">Section </w:t>
      </w:r>
      <w:hyperlink w:anchor="sec:data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describes the data and the entity-resolution pipeline.</w:t>
      </w:r>
      <w:r>
        <w:t xml:space="preserve"> </w:t>
      </w:r>
      <w:r>
        <w:t xml:space="preserve">Section </w:t>
      </w:r>
      <w:hyperlink w:anchor="sec:result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reports the empirical evaluation and validity battery.</w:t>
      </w:r>
      <w:r>
        <w:t xml:space="preserve"> </w:t>
      </w:r>
      <w:r>
        <w:t xml:space="preserve">Section </w:t>
      </w:r>
      <w:hyperlink w:anchor="sec:discussion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discusses implications, limitations, and</w:t>
      </w:r>
      <w:r>
        <w:t xml:space="preserve"> </w:t>
      </w:r>
      <w:r>
        <w:t xml:space="preserve">conclusions. An appendix collects implementation details and additional tables.</w:t>
      </w:r>
    </w:p>
    <w:bookmarkEnd w:id="31"/>
    <w:bookmarkStart w:id="33" w:name="sec:related"/>
    <w:p>
      <w:pPr>
        <w:pStyle w:val="Heading1"/>
      </w:pPr>
      <w:r>
        <w:t xml:space="preserve">Related Work and Positioning</w:t>
      </w:r>
    </w:p>
    <w:p>
      <w:pPr>
        <w:pStyle w:val="FirstParagraph"/>
      </w:pPr>
      <w:r>
        <w:t xml:space="preserve">The systemic-risk literature begins with associational, return-based measures.</w:t>
      </w:r>
      <w:r>
        <w:t xml:space="preserve"> </w:t>
      </w:r>
      <w:r>
        <w:t xml:space="preserve">The canonical conditional measure is</w:t>
      </w:r>
      <w:r>
        <w:t xml:space="preserve"> </w:t>
      </w:r>
      <m:oMath>
        <m:r>
          <m:t>Δ</m:t>
        </m:r>
      </m:oMath>
      <w:r>
        <w:t xml:space="preserve">CoVaR</w:t>
      </w:r>
      <w:r>
        <w:t xml:space="preserve"> </w:t>
      </w:r>
      <w:r>
        <w:t xml:space="preserve">(Adrian and Brunnermeier 2016)</w:t>
      </w:r>
      <w:r>
        <w:t xml:space="preserve">, the</w:t>
      </w:r>
      <w:r>
        <w:t xml:space="preserve"> </w:t>
      </w:r>
      <w:r>
        <w:t xml:space="preserve">change in the value-at-risk of the financial system conditional on an</w:t>
      </w:r>
      <w:r>
        <w:t xml:space="preserve"> </w:t>
      </w:r>
      <w:r>
        <w:t xml:space="preserve">institution being in distress relative to its median state; the</w:t>
      </w:r>
      <w:r>
        <w:t xml:space="preserve"> </w:t>
      </w:r>
      <w:r>
        <w:t xml:space="preserve">systemic-expected-shortfall family</w:t>
      </w:r>
      <w:r>
        <w:t xml:space="preserve"> </w:t>
      </w:r>
      <w:r>
        <w:t xml:space="preserve">(Acharya et al. 2017)</w:t>
      </w:r>
      <w:r>
        <w:t xml:space="preserve"> </w:t>
      </w:r>
      <w:r>
        <w:t xml:space="preserve">adds marginal</w:t>
      </w:r>
      <w:r>
        <w:t xml:space="preserve"> </w:t>
      </w:r>
      <w:r>
        <w:t xml:space="preserve">expected shortfall (MES) and the leverage-adjusted SRISK; and connectedness</w:t>
      </w:r>
      <w:r>
        <w:t xml:space="preserve"> </w:t>
      </w:r>
      <w:r>
        <w:t xml:space="preserve">measures built from forecast-error-variance decompositions</w:t>
      </w:r>
      <w:r>
        <w:t xml:space="preserve"> </w:t>
      </w:r>
      <w:r>
        <w:t xml:space="preserve">(Diebold and Yılmaz 2014)</w:t>
      </w:r>
      <w:r>
        <w:t xml:space="preserve"> </w:t>
      </w:r>
      <w:r>
        <w:t xml:space="preserve">or Granger-causal and correlation networks</w:t>
      </w:r>
      <w:r>
        <w:t xml:space="preserve"> </w:t>
      </w:r>
      <w:r>
        <w:t xml:space="preserve">(Billio et al. 2012)</w:t>
      </w:r>
      <w:r>
        <w:t xml:space="preserve"> </w:t>
      </w:r>
      <w:r>
        <w:t xml:space="preserve">quantify spillovers. These are, by construction,</w:t>
      </w:r>
      <w:r>
        <w:t xml:space="preserve"> </w:t>
      </w:r>
      <w:r>
        <w:t xml:space="preserve">descriptions of co-movement rather than of mechanism, and a recent survey of the</w:t>
      </w:r>
      <w:r>
        <w:t xml:space="preserve"> </w:t>
      </w:r>
      <w:r>
        <w:t xml:space="preserve">whole field</w:t>
      </w:r>
      <w:r>
        <w:t xml:space="preserve"> </w:t>
      </w:r>
      <w:r>
        <w:t xml:space="preserve">(Kumar et al. 2025)</w:t>
      </w:r>
      <w:r>
        <w:t xml:space="preserve"> </w:t>
      </w:r>
      <w:r>
        <w:t xml:space="preserve">confirms that even where the word</w:t>
      </w:r>
      <w:r>
        <w:t xml:space="preserve"> </w:t>
      </w:r>
      <w:r>
        <w:t xml:space="preserve">“</w:t>
      </w:r>
      <w:r>
        <w:t xml:space="preserve">causal</w:t>
      </w:r>
      <w:r>
        <w:t xml:space="preserve">”</w:t>
      </w:r>
      <w:r>
        <w:t xml:space="preserve"> </w:t>
      </w:r>
      <w:r>
        <w:t xml:space="preserve">appears, applications around CoVaR, MES and SRISK remain</w:t>
      </w:r>
      <w:r>
        <w:t xml:space="preserve"> </w:t>
      </w:r>
      <w:r>
        <w:t xml:space="preserve">associational or Granger-based.</w:t>
      </w:r>
    </w:p>
    <w:p>
      <w:pPr>
        <w:pStyle w:val="BodyText"/>
      </w:pPr>
      <w:r>
        <w:t xml:space="preserve">The closest methodological precedent that genuinely estimates causal structure</w:t>
      </w:r>
      <w:r>
        <w:t xml:space="preserve"> </w:t>
      </w:r>
      <w:r>
        <w:t xml:space="preserve">is Causal-NECO VaR</w:t>
      </w:r>
      <w:r>
        <w:t xml:space="preserve"> </w:t>
      </w:r>
      <w:r>
        <w:t xml:space="preserve">(Rigana, Wit, and Cook 2024)</w:t>
      </w:r>
      <w:r>
        <w:t xml:space="preserve">, which decomposes asset log-returns</w:t>
      </w:r>
      <w:r>
        <w:t xml:space="preserve"> </w:t>
      </w:r>
      <w:r>
        <w:t xml:space="preserve">into an autoregressive part and an instantaneous contagion part, learns the</w:t>
      </w:r>
      <w:r>
        <w:t xml:space="preserve"> </w:t>
      </w:r>
      <w:r>
        <w:t xml:space="preserve">causal graph with PC-stable</w:t>
      </w:r>
      <w:r>
        <w:t xml:space="preserve"> </w:t>
      </w:r>
      <w:r>
        <w:t xml:space="preserve">(Colombo and Maathuis 2014)</w:t>
      </w:r>
      <w:r>
        <w:t xml:space="preserve">, and computes a Gaussian or</w:t>
      </w:r>
      <w:r>
        <w:t xml:space="preserve"> </w:t>
      </w:r>
      <w:r>
        <w:t xml:space="preserve">Gaussian-copula VaR. It operates at Pearl Levels 1–2 on foreign-exchange data,</w:t>
      </w:r>
      <w:r>
        <w:t xml:space="preserve"> </w:t>
      </w:r>
      <w:r>
        <w:t xml:space="preserve">assumes no unmeasured confounders, and—decisively for our purposes—obtains</w:t>
      </w:r>
      <w:r>
        <w:t xml:space="preserve"> </w:t>
      </w:r>
      <w:r>
        <w:t xml:space="preserve">its graph by estimation rather than observation; its foundational lineage</w:t>
      </w:r>
      <w:r>
        <w:t xml:space="preserve"> </w:t>
      </w:r>
      <w:r>
        <w:t xml:space="preserve">(Rigana, Wit, and Cook 2023)</w:t>
      </w:r>
      <w:r>
        <w:t xml:space="preserve"> </w:t>
      </w:r>
      <w:r>
        <w:t xml:space="preserve">combines causal networks with a structural vector</w:t>
      </w:r>
      <w:r>
        <w:t xml:space="preserve"> </w:t>
      </w:r>
      <w:r>
        <w:t xml:space="preserve">autoregression in Pearl’s framework</w:t>
      </w:r>
      <w:r>
        <w:t xml:space="preserve"> </w:t>
      </w:r>
      <w:r>
        <w:t xml:space="preserve">(Spirtes, Glymour, and Scheines 2000)</w:t>
      </w:r>
      <w:r>
        <w:t xml:space="preserve">. The nearest</w:t>
      </w:r>
      <w:r>
        <w:t xml:space="preserve"> </w:t>
      </w:r>
      <w:r>
        <w:t xml:space="preserve">crypto application is the time-varying directed-information graph TV-DIG</w:t>
      </w:r>
      <w:r>
        <w:t xml:space="preserve"> </w:t>
      </w:r>
      <w:r>
        <w:t xml:space="preserve">(Etesami, Habibnia, and Kiyavash 2023)</w:t>
      </w:r>
      <w:r>
        <w:t xml:space="preserve">, a nonparametric directed network that detects</w:t>
      </w:r>
      <w:r>
        <w:t xml:space="preserve"> </w:t>
      </w:r>
      <w:r>
        <w:t xml:space="preserve">heightened crypto-to-sector influence around the 2022 stress events; directed</w:t>
      </w:r>
      <w:r>
        <w:t xml:space="preserve"> </w:t>
      </w:r>
      <w:r>
        <w:t xml:space="preserve">information generalises Granger causality</w:t>
      </w:r>
      <w:r>
        <w:t xml:space="preserve"> </w:t>
      </w:r>
      <w:r>
        <w:t xml:space="preserve">(Granger 1969)</w:t>
      </w:r>
      <w:r>
        <w:t xml:space="preserve"> </w:t>
      </w:r>
      <w:r>
        <w:t xml:space="preserve">but is not a Pearl</w:t>
      </w:r>
      <w:r>
        <w:t xml:space="preserve"> </w:t>
      </w:r>
      <w:r>
        <w:t xml:space="preserve">SCM with do-operator and counterfactual semantics, and it too is built from</w:t>
      </w:r>
      <w:r>
        <w:t xml:space="preserve"> </w:t>
      </w:r>
      <w:r>
        <w:t xml:space="preserve">returns. The 2025–2026 crypto-specific wave—composite indices such as ASRI</w:t>
      </w:r>
      <w:r>
        <w:t xml:space="preserve"> </w:t>
      </w:r>
      <w:r>
        <w:t xml:space="preserve">(Farzulla and Maksakov 2026)</w:t>
      </w:r>
      <w:r>
        <w:t xml:space="preserve"> </w:t>
      </w:r>
      <w:r>
        <w:t xml:space="preserve">and comparative TradFi–DeFi systemic-risk mappings that</w:t>
      </w:r>
      <w:r>
        <w:t xml:space="preserve"> </w:t>
      </w:r>
      <w:r>
        <w:t xml:space="preserve">formalise composability-driven</w:t>
      </w:r>
      <w:r>
        <w:t xml:space="preserve"> </w:t>
      </w:r>
      <w:r>
        <w:t xml:space="preserve">“</w:t>
      </w:r>
      <w:r>
        <w:t xml:space="preserve">crosstagion</w:t>
      </w:r>
      <w:r>
        <w:t xml:space="preserve">”</w:t>
      </w:r>
      <w:r>
        <w:t xml:space="preserve"> </w:t>
      </w:r>
      <w:r>
        <w:t xml:space="preserve">(Aufiero et al. 2025)</w:t>
      </w:r>
      <w:r>
        <w:t xml:space="preserve">—</w:t>
      </w:r>
      <w:r>
        <w:t xml:space="preserve"> </w:t>
      </w:r>
      <w:r>
        <w:t xml:space="preserve">sharpens the motivation but does not change the picture: the network is either</w:t>
      </w:r>
      <w:r>
        <w:t xml:space="preserve"> </w:t>
      </w:r>
      <w:r>
        <w:t xml:space="preserve">estimated from prices or treated descriptively.</w:t>
      </w:r>
    </w:p>
    <w:p>
      <w:pPr>
        <w:pStyle w:val="BodyText"/>
      </w:pPr>
      <w:r>
        <w:t xml:space="preserve">On-chain transaction graphs themselves have been mined predictively, through</w:t>
      </w:r>
      <w:r>
        <w:t xml:space="preserve"> </w:t>
      </w:r>
      <w:r>
        <w:t xml:space="preserve">chainlet subgraphs that forecast Bitcoin price and volatility</w:t>
      </w:r>
      <w:r>
        <w:t xml:space="preserve"> </w:t>
      </w:r>
      <w:r>
        <w:t xml:space="preserve">(Akcora et al. 2018)</w:t>
      </w:r>
      <w:r>
        <w:t xml:space="preserve">, and for forensics and address clustering, from the</w:t>
      </w:r>
      <w:r>
        <w:t xml:space="preserve"> </w:t>
      </w:r>
      <w:r>
        <w:t xml:space="preserve">multi-input/co-spend heuristics of</w:t>
      </w:r>
      <w:r>
        <w:t xml:space="preserve"> </w:t>
      </w:r>
      <w:r>
        <w:t xml:space="preserve">(Meiklejohn et al. 2013)</w:t>
      </w:r>
      <w:r>
        <w:t xml:space="preserve"> </w:t>
      </w:r>
      <w:r>
        <w:t xml:space="preserve">to</w:t>
      </w:r>
      <w:r>
        <w:t xml:space="preserve"> </w:t>
      </w:r>
      <w:r>
        <w:t xml:space="preserve">graph-convolutional anti-money-laundering classifiers on the Elliptic dataset</w:t>
      </w:r>
      <w:r>
        <w:t xml:space="preserve"> </w:t>
      </w:r>
      <w:r>
        <w:t xml:space="preserve">(Weber et al. 2019)</w:t>
      </w:r>
      <w:r>
        <w:t xml:space="preserve">. We reuse this resolution machinery, but no prior work</w:t>
      </w:r>
      <w:r>
        <w:t xml:space="preserve"> </w:t>
      </w:r>
      <w:r>
        <w:t xml:space="preserve">treats the resulting graph as a causal structure for a systemic-risk measure.</w:t>
      </w:r>
    </w:p>
    <w:p>
      <w:pPr>
        <w:pStyle w:val="BodyText"/>
      </w:pPr>
      <w:r>
        <w:t xml:space="preserve">Taken together, the literature leaves two specific capabilities unfilled, and a</w:t>
      </w:r>
      <w:r>
        <w:t xml:space="preserve"> </w:t>
      </w:r>
      <w:r>
        <w:t xml:space="preserve">deliberate survey of the most recent 2025–2026 work—the period in which one</w:t>
      </w:r>
      <w:r>
        <w:t xml:space="preserve"> </w:t>
      </w:r>
      <w:r>
        <w:t xml:space="preserve">might most expect the gap to have closed—confirms that it remains open. We</w:t>
      </w:r>
      <w:r>
        <w:t xml:space="preserve"> </w:t>
      </w:r>
      <w:r>
        <w:t xml:space="preserve">organise the evidence around the two sub-claims.</w:t>
      </w:r>
    </w:p>
    <w:p>
      <w:pPr>
        <w:pStyle w:val="BodyText"/>
      </w:pPr>
      <w:r>
        <w:rPr>
          <w:iCs/>
          <w:i/>
        </w:rPr>
        <w:t xml:space="preserve">On the on-chain-graph-as-SCM claim.</w:t>
      </w:r>
      <w:r>
        <w:t xml:space="preserve"> </w:t>
      </w:r>
      <w:r>
        <w:t xml:space="preserve">The 2026 crypto systemic-risk</w:t>
      </w:r>
      <w:r>
        <w:t xml:space="preserve"> </w:t>
      </w:r>
      <w:r>
        <w:t xml:space="preserve">literature uses the on-chain graph descriptively or builds the network from</w:t>
      </w:r>
      <w:r>
        <w:t xml:space="preserve"> </w:t>
      </w:r>
      <w:r>
        <w:t xml:space="preserve">prices, never as a Pearl SCM. Sankaewtong</w:t>
      </w:r>
      <w:r>
        <w:t xml:space="preserve"> </w:t>
      </w:r>
      <w:r>
        <w:t xml:space="preserve">(2026)</w:t>
      </w:r>
      <w:r>
        <w:t xml:space="preserve"> </w:t>
      </w:r>
      <w:r>
        <w:t xml:space="preserve">traces</w:t>
      </w:r>
      <w:r>
        <w:t xml:space="preserve"> </w:t>
      </w:r>
      <w:r>
        <w:t xml:space="preserve">the USDC depeg contagion through high-granularity on-chain transactions, but</w:t>
      </w:r>
      <w:r>
        <w:t xml:space="preserve"> </w:t>
      </w:r>
      <w:r>
        <w:t xml:space="preserve">observationally, with no interventional or counterfactual semantics; Zhang et</w:t>
      </w:r>
      <w:r>
        <w:t xml:space="preserve"> </w:t>
      </w:r>
      <w:r>
        <w:t xml:space="preserve">al. </w:t>
      </w:r>
      <w:r>
        <w:t xml:space="preserve">(2026)</w:t>
      </w:r>
      <w:r>
        <w:t xml:space="preserve"> </w:t>
      </w:r>
      <w:r>
        <w:t xml:space="preserve">measure DeFi systemic fragility from the</w:t>
      </w:r>
      <w:r>
        <w:t xml:space="preserve"> </w:t>
      </w:r>
      <w:r>
        <w:rPr>
          <w:iCs/>
          <w:i/>
        </w:rPr>
        <w:t xml:space="preserve">correlation</w:t>
      </w:r>
      <w:r>
        <w:t xml:space="preserve"> </w:t>
      </w:r>
      <w:r>
        <w:t xml:space="preserve">structure of total-value-locked dynamics; ASRI</w:t>
      </w:r>
      <w:r>
        <w:t xml:space="preserve"> </w:t>
      </w:r>
      <w:r>
        <w:t xml:space="preserve">(Farzulla and Maksakov 2026)</w:t>
      </w:r>
      <w:r>
        <w:t xml:space="preserve"> </w:t>
      </w:r>
      <w:r>
        <w:t xml:space="preserve">is an associational composite of weighted sub-indices;</w:t>
      </w:r>
      <w:r>
        <w:t xml:space="preserve"> </w:t>
      </w:r>
      <w:r>
        <w:t xml:space="preserve">and the comparative TradFi–DeFi</w:t>
      </w:r>
      <w:r>
        <w:t xml:space="preserve"> </w:t>
      </w:r>
      <w:r>
        <w:t xml:space="preserve">“</w:t>
      </w:r>
      <w:r>
        <w:t xml:space="preserve">crosstagion</w:t>
      </w:r>
      <w:r>
        <w:t xml:space="preserve">”</w:t>
      </w:r>
      <w:r>
        <w:t xml:space="preserve"> </w:t>
      </w:r>
      <w:r>
        <w:t xml:space="preserve">mapping of Aufiero et al. </w:t>
      </w:r>
      <w:r>
        <w:t xml:space="preserve">(2025)</w:t>
      </w:r>
      <w:r>
        <w:t xml:space="preserve"> </w:t>
      </w:r>
      <w:r>
        <w:t xml:space="preserve">is conceptual. The detailed forensic reconstructions</w:t>
      </w:r>
      <w:r>
        <w:t xml:space="preserve"> </w:t>
      </w:r>
      <w:r>
        <w:t xml:space="preserve">of the very event we study—Lim’s minute-level analysis</w:t>
      </w:r>
      <w:r>
        <w:t xml:space="preserve"> </w:t>
      </w:r>
      <w:r>
        <w:t xml:space="preserve">(2026)</w:t>
      </w:r>
      <w:r>
        <w:t xml:space="preserve"> </w:t>
      </w:r>
      <w:r>
        <w:t xml:space="preserve">and Ali’s anatomy</w:t>
      </w:r>
      <w:r>
        <w:t xml:space="preserve"> </w:t>
      </w:r>
      <w:r>
        <w:t xml:space="preserve">(2025)</w:t>
      </w:r>
      <w:r>
        <w:t xml:space="preserve">—characterise the mechanism but build</w:t>
      </w:r>
      <w:r>
        <w:t xml:space="preserve"> </w:t>
      </w:r>
      <w:r>
        <w:t xml:space="preserve">no causal risk measure. None reads the causal parent set off the ledger.</w:t>
      </w:r>
    </w:p>
    <w:p>
      <w:pPr>
        <w:pStyle w:val="BodyText"/>
      </w:pPr>
      <w:r>
        <w:rPr>
          <w:iCs/>
          <w:i/>
        </w:rPr>
        <w:t xml:space="preserve">On the counterfactual-systemic-risk claim.</w:t>
      </w:r>
      <w:r>
        <w:t xml:space="preserve"> </w:t>
      </w:r>
      <w:r>
        <w:t xml:space="preserve">Counterfactual reasoning has</w:t>
      </w:r>
      <w:r>
        <w:t xml:space="preserve"> </w:t>
      </w:r>
      <w:r>
        <w:t xml:space="preserve">reached finance, but not systemic-risk measurement. Xu</w:t>
      </w:r>
      <w:r>
        <w:t xml:space="preserve"> </w:t>
      </w:r>
      <w:r>
        <w:t xml:space="preserve">(2025)</w:t>
      </w:r>
      <w:r>
        <w:t xml:space="preserve"> </w:t>
      </w:r>
      <w:r>
        <w:t xml:space="preserve">applies counterfactual analysis to credit-portfolio losses, not to a networked</w:t>
      </w:r>
      <w:r>
        <w:t xml:space="preserve"> </w:t>
      </w:r>
      <w:r>
        <w:t xml:space="preserve">tail-risk measure; and the comprehensive 2025 survey of causal inference across</w:t>
      </w:r>
      <w:r>
        <w:t xml:space="preserve"> </w:t>
      </w:r>
      <w:r>
        <w:t xml:space="preserve">banking, finance and insurance by Kumar et al. </w:t>
      </w:r>
      <w:r>
        <w:t xml:space="preserve">(2025)</w:t>
      </w:r>
      <w:r>
        <w:t xml:space="preserve">,</w:t>
      </w:r>
      <w:r>
        <w:t xml:space="preserve"> </w:t>
      </w:r>
      <w:r>
        <w:t xml:space="preserve">covering decades of work, documents only association and Granger usage around</w:t>
      </w:r>
      <w:r>
        <w:t xml:space="preserve"> </w:t>
      </w:r>
      <w:r>
        <w:t xml:space="preserve">SRISK, MES and CoVaR, with no counterfactual systemic-risk measure. The nearest</w:t>
      </w:r>
      <w:r>
        <w:t xml:space="preserve"> </w:t>
      </w:r>
      <w:r>
        <w:t xml:space="preserve">causal precedents—Causal-NECO VaR</w:t>
      </w:r>
      <w:r>
        <w:t xml:space="preserve"> </w:t>
      </w:r>
      <w:r>
        <w:t xml:space="preserve">(Rigana, Wit, and Cook 2024)</w:t>
      </w:r>
      <w:r>
        <w:t xml:space="preserve"> </w:t>
      </w:r>
      <w:r>
        <w:t xml:space="preserve">and TV-DIG</w:t>
      </w:r>
      <w:r>
        <w:t xml:space="preserve"> </w:t>
      </w:r>
      <w:r>
        <w:t xml:space="preserve">(Etesami, Habibnia, and Kiyavash 2023)</w:t>
      </w:r>
      <w:r>
        <w:t xml:space="preserve">—stop at Pearl Level 2.</w:t>
      </w:r>
    </w:p>
    <w:p>
      <w:pPr>
        <w:pStyle w:val="BodyText"/>
      </w:pPr>
      <w:r>
        <w:t xml:space="preserve">Against this 2026 state of the art,</w:t>
      </w:r>
      <w:r>
        <w:t xml:space="preserve"> </w:t>
      </w:r>
      <w:r>
        <w:rPr>
          <w:iCs/>
          <w:i/>
        </w:rPr>
        <w:t xml:space="preserve">to the best of our knowledge VEIN is</w:t>
      </w:r>
      <w:r>
        <w:rPr>
          <w:iCs/>
          <w:i/>
        </w:rPr>
        <w:t xml:space="preserve"> </w:t>
      </w:r>
      <w:r>
        <w:rPr>
          <w:iCs/>
          <w:i/>
        </w:rPr>
        <w:t xml:space="preserve">the first framework to (i) use an observed on-chain transaction graph as a Pearl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causal model for a systemic-risk measure, and (ii) define a</w:t>
      </w:r>
      <w:r>
        <w:rPr>
          <w:iCs/>
          <w:i/>
        </w:rPr>
        <w:t xml:space="preserve"> </w:t>
      </w:r>
      <w:r>
        <w:rPr>
          <w:iCs/>
          <w:i/>
        </w:rPr>
        <w:t xml:space="preserve">counterfactual (Pearl Level-3) systemic-risk attribution measure in finance</w:t>
      </w:r>
      <w:r>
        <w:t xml:space="preserve">.</w:t>
      </w:r>
      <w:r>
        <w:t xml:space="preserve"> </w:t>
      </w:r>
      <w:r>
        <w:t xml:space="preserve">Both sub-claims were checked against standard term combinations across arXiv,</w:t>
      </w:r>
      <w:r>
        <w:t xml:space="preserve"> </w:t>
      </w:r>
      <w:r>
        <w:t xml:space="preserve">SSRN and Semantic Scholar as of mid-2026 and returned no prior instance; as with</w:t>
      </w:r>
      <w:r>
        <w:t xml:space="preserve"> </w:t>
      </w:r>
      <w:r>
        <w:t xml:space="preserve">any negative existence claim they are bounded by search coverage, and we state</w:t>
      </w:r>
      <w:r>
        <w:t xml:space="preserve"> </w:t>
      </w:r>
      <w:r>
        <w:t xml:space="preserve">them as</w:t>
      </w:r>
      <w:r>
        <w:t xml:space="preserve"> </w:t>
      </w:r>
      <w:r>
        <w:t xml:space="preserve">“</w:t>
      </w:r>
      <w:r>
        <w:t xml:space="preserve">no evidence of</w:t>
      </w:r>
      <w:r>
        <w:t xml:space="preserve">”</w:t>
      </w:r>
      <w:r>
        <w:t xml:space="preserve"> </w:t>
      </w:r>
      <w:r>
        <w:t xml:space="preserve">rather than proof of absence. Table </w:t>
      </w:r>
      <w:hyperlink w:anchor="tab:posit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situates VEIN against the nearest neighbours; throughout, we treat Causal-NECO</w:t>
      </w:r>
      <w:r>
        <w:t xml:space="preserve"> </w:t>
      </w:r>
      <w:r>
        <w:t xml:space="preserve">VaR (nearest method) and TV-DIG (nearest crypto application) as the reference</w:t>
      </w:r>
      <w:r>
        <w:t xml:space="preserve"> </w:t>
      </w:r>
      <w:r>
        <w:t xml:space="preserve">points, and we re-implement the estimated-graph approach on our own data as the</w:t>
      </w:r>
      <w:r>
        <w:t xml:space="preserve"> </w:t>
      </w:r>
      <w:r>
        <w:t xml:space="preserve">head-to-head baseline for H1.</w:t>
      </w:r>
    </w:p>
    <w:bookmarkStart w:id="32" w:name="tab:position"/>
    <w:p>
      <w:pPr>
        <w:pStyle w:val="TableCaption"/>
      </w:pPr>
      <w:r>
        <w:t xml:space="preserve">Positioning of VEIN against the nearest prior art.</w:t>
      </w:r>
    </w:p>
    <w:tbl>
      <w:tblPr>
        <w:tblStyle w:val="Table"/>
        <w:tblW w:type="pct" w:w="1300"/>
        <w:tblLook w:firstRow="1" w:lastRow="0" w:firstColumn="0" w:lastColumn="0" w:noHBand="0" w:noVBand="0" w:val="0020"/>
        <w:jc w:val="start"/>
        <w:tblCaption w:val="Positioning of VEIN against the nearest prior art."/>
      </w:tblPr>
      <w:tblGrid>
        <w:gridCol w:w="2059"/>
        <w:gridCol w:w="0"/>
        <w:gridCol w:w="0"/>
        <w:gridCol w:w="0"/>
        <w:gridCol w:w="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Graph source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Causal level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Domain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Counterfactual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  <w:r>
              <w:t xml:space="preserve">CoVaR</w:t>
            </w:r>
            <w:r>
              <w:t xml:space="preserve"> </w:t>
            </w:r>
            <w:r>
              <w:t xml:space="preserve">(Adrian and Brunnermeier 2016)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(returns)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assoc. (L1)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MES/SRISK</w:t>
            </w:r>
            <w:r>
              <w:t xml:space="preserve"> </w:t>
            </w:r>
            <w:r>
              <w:t xml:space="preserve">(Acharya et al. 2017)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(returns)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assoc. (L1)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CoRisk</w:t>
            </w:r>
            <w:r>
              <w:t xml:space="preserve"> </w:t>
            </w:r>
            <w:r>
              <w:t xml:space="preserve">(Giudici and Parisi 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corr. network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assoc. (L1)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credit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ASRI</w:t>
            </w:r>
            <w:r>
              <w:t xml:space="preserve"> </w:t>
            </w:r>
            <w:r>
              <w:t xml:space="preserve">(Farzulla and Maksakov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composite index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assoc. (L1)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crypto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TV-DIG</w:t>
            </w:r>
            <w:r>
              <w:t xml:space="preserve"> </w:t>
            </w:r>
            <w:r>
              <w:t xml:space="preserve">(Etesami, Habibnia, and Kiyavash 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estimated (DI)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Granger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incl. crypto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Causal-NECO VaR</w:t>
            </w:r>
            <w:r>
              <w:t xml:space="preserve"> </w:t>
            </w:r>
            <w:r>
              <w:t xml:space="preserve">(Rigana, Wit, and Cook 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estimated (PC)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SCM (L1–2)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VEIN (this paper)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observed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SCM (L1–3)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crypto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yes</w:t>
            </w:r>
          </w:p>
        </w:tc>
      </w:tr>
    </w:tbl>
    <w:bookmarkEnd w:id="32"/>
    <w:bookmarkEnd w:id="33"/>
    <w:bookmarkStart w:id="39" w:name="sec:method"/>
    <w:p>
      <w:pPr>
        <w:pStyle w:val="Heading1"/>
      </w:pPr>
      <w:r>
        <w:t xml:space="preserve">The VEIN Framework</w:t>
      </w:r>
    </w:p>
    <w:bookmarkStart w:id="36" w:name="subsec:scm"/>
    <w:p>
      <w:pPr>
        <w:pStyle w:val="Heading2"/>
      </w:pPr>
      <w:r>
        <w:t xml:space="preserve">Structural causal model and identification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E</m:t>
            </m:r>
          </m:e>
        </m:d>
      </m:oMath>
      <w:r>
        <w:t xml:space="preserve"> </w:t>
      </w:r>
      <w:r>
        <w:t xml:space="preserve">be a directed, timestamped, dollar-weighted graph whose nodes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resolved economic entities</w:t>
      </w:r>
      <w:r>
        <w:t xml:space="preserve"> </w:t>
      </w:r>
      <w:r>
        <w:t xml:space="preserve">(exchanges, lending protocols, stablecoin</w:t>
      </w:r>
      <w:r>
        <w:t xml:space="preserve"> </w:t>
      </w:r>
      <w:r>
        <w:t xml:space="preserve">issuers, custodians, and an aggregate retail node) and whose edges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observed on-chain flows. For each entity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discrete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track a</w:t>
      </w:r>
      <w:r>
        <w:t xml:space="preserve"> </w:t>
      </w:r>
      <w:r>
        <w:t xml:space="preserve">scalar</w:t>
      </w:r>
      <w:r>
        <w:t xml:space="preserve"> </w:t>
      </w:r>
      <w:r>
        <w:rPr>
          <w:iCs/>
          <w:i/>
        </w:rPr>
        <w:t xml:space="preserve">stress state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, oriented so that larger means</w:t>
      </w:r>
      <w:r>
        <w:t xml:space="preserve"> </w:t>
      </w:r>
      <w:r>
        <w:t xml:space="preserve">more distressed; the realised flow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→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during</w:t>
      </w:r>
      <w:r>
        <w:t xml:space="preserve"> </w:t>
      </w:r>
      <w:r>
        <w:t xml:space="preserve">period</w:t>
      </w:r>
      <w:r>
        <w:t xml:space="preserve"> </w:t>
      </w:r>
      <m:oMath>
        <m:r>
          <m:t>t</m:t>
        </m:r>
      </m:oMath>
      <w:r>
        <w:t xml:space="preserve">; and an exogenous shock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. Table </w:t>
      </w:r>
      <w:hyperlink w:anchor="tab:nota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summarises the notation. The defining structural equation of VEIN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→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{</m:t>
          </m:r>
          <m:r>
            <m:t> </m:t>
          </m:r>
          <m:r>
            <m:t>p</m:t>
          </m:r>
          <m:r>
            <m:rPr>
              <m:sty m:val="p"/>
            </m:rPr>
            <m:t>∈</m:t>
          </m:r>
          <m:r>
            <m:t>V</m:t>
          </m:r>
          <m:r>
            <m:rPr>
              <m:sty m:val="p"/>
            </m:rPr>
            <m:t>: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→</m:t>
              </m:r>
              <m:r>
                <m:t>i</m:t>
              </m:r>
            </m:e>
          </m:d>
          <m:r>
            <m:rPr>
              <m:sty m:val="p"/>
            </m:rPr>
            <m:t>∈</m:t>
          </m:r>
          <m:r>
            <m:t>E</m:t>
          </m:r>
          <m:r>
            <m:t> 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resolved ledger supplies an observed candidate propagation skeleton: under</w:t>
      </w:r>
      <w:r>
        <w:t xml:space="preserve"> </w:t>
      </w:r>
      <w:r>
        <w:t xml:space="preserve">the edge-type and timing assumptions A1–A3 below, the in-neighbours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used to</w:t>
      </w:r>
      <w:r>
        <w:t xml:space="preserve"> </w:t>
      </w:r>
      <w:r>
        <w:rPr>
          <w:iCs/>
          <w:i/>
        </w:rPr>
        <w:t xml:space="preserve">specify</w:t>
      </w:r>
      <w:r>
        <w:t xml:space="preserve"> </w:t>
      </w:r>
      <w:r>
        <w:t xml:space="preserve">the model parent set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of the SCM. This</w:t>
      </w:r>
      <w:r>
        <w:t xml:space="preserve"> </w:t>
      </w:r>
      <w:r>
        <w:t xml:space="preserve">is the central structural move of the paper: in contrast to</w:t>
      </w:r>
      <w:r>
        <w:t xml:space="preserve"> </w:t>
      </w:r>
      <w:r>
        <w:t xml:space="preserve">(Rigana, Wit, and Cook 2024; Etesami, Habibnia, and Kiyavash 2023)</w:t>
      </w:r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is specified from the ledger</w:t>
      </w:r>
      <w:r>
        <w:t xml:space="preserve"> </w:t>
      </w:r>
      <w:r>
        <w:t xml:space="preserve">rather than estimated from price correlations, so the only component requiring</w:t>
      </w:r>
      <w:r>
        <w:t xml:space="preserve"> </w:t>
      </w:r>
      <w:r>
        <w:t xml:space="preserve">statistical estimation is the stress-propagation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carries a causal interpretation only insofar as A1–A3 hold for the edge types</w:t>
      </w:r>
      <w:r>
        <w:t xml:space="preserve"> </w:t>
      </w:r>
      <w:r>
        <w:t xml:space="preserve">and events under study, a claim we subject to direct falsification in</w:t>
      </w:r>
      <w:r>
        <w:t xml:space="preserve"> </w:t>
      </w:r>
      <w:r>
        <w:t xml:space="preserve">Section </w:t>
      </w:r>
      <w:hyperlink w:anchor="subsec:h2valid">
        <w:r>
          <w:rPr>
            <w:rStyle w:val="Hyperlink"/>
          </w:rPr>
          <w:t xml:space="preserve">5.3</w:t>
        </w:r>
      </w:hyperlink>
      <w:r>
        <w:t xml:space="preserve">. We adopt a ridge-regularised linear</w:t>
      </w:r>
      <w:r>
        <w:t xml:space="preserve"> </w:t>
      </w:r>
      <w:r>
        <w:t xml:space="preserve">specification,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</m:nary>
          <m:r>
            <m:t> </m:t>
          </m:r>
          <m:sSub>
            <m:e>
              <m:r>
                <m:t>S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{</m:t>
            </m:r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p</m:t>
                </m:r>
              </m:sub>
            </m:sSub>
            <m:r>
              <m:rPr>
                <m:sty m:val="p"/>
              </m:rPr>
              <m:t>}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{</m:t>
            </m:r>
            <m:sSub>
              <m:e>
                <m:r>
                  <m:t>c</m:t>
                </m:r>
              </m:e>
              <m:sub>
                <m:r>
                  <m:t>i</m:t>
                </m:r>
                <m:r>
                  <m:t>p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 xml:space="preserve"> </w:t>
      </w:r>
      <w:r>
        <w:t xml:space="preserve">estimated by ridge</w:t>
      </w:r>
      <w:r>
        <w:t xml:space="preserve"> </w:t>
      </w:r>
      <w:r>
        <w:t xml:space="preserve">regression,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  <m:sSubSup>
              <m:e>
                <m:r>
                  <m:rPr>
                    <m:sty m:val="p"/>
                  </m:rPr>
                  <m:t>∥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∥</m:t>
            </m:r>
            <m:sSub>
              <m:e>
                <m:r>
                  <m:t>c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  <m:sSubSup>
              <m:e>
                <m:r>
                  <m:rPr>
                    <m:sty m:val="p"/>
                  </m:rPr>
                  <m:t>∥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, on a pre-crisis estimation</w:t>
      </w:r>
      <w:r>
        <w:t xml:space="preserve"> </w:t>
      </w:r>
      <w:r>
        <w:t xml:space="preserve">window. The fitted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;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furnish an empirical distribution of exogenous shocks used by the risk measures.</w:t>
      </w:r>
    </w:p>
    <w:bookmarkStart w:id="34" w:name="tab:notation"/>
    <w:p>
      <w:pPr>
        <w:pStyle w:val="TableCaption"/>
      </w:pPr>
      <w:r>
        <w:t xml:space="preserve">Notation.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Notation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resolved entity graph (nodes, directed flow edges)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model parent set of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specified from in-neighbours in</w:t>
            </w:r>
            <w:r>
              <w:t xml:space="preserve"> </w:t>
            </w:r>
            <m:oMath>
              <m:r>
                <m:t>G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stress state of entity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z</m:t>
              </m:r>
            </m:oMath>
            <w:r>
              <w:t xml:space="preserve">-scored)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observed USD flow from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 period</w:t>
            </w:r>
            <w:r>
              <w:t xml:space="preserve"> </w:t>
            </w:r>
            <m:oMath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exogenous shock to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structural (stress-propagation) function of</w:t>
            </w:r>
            <w: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loss functional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over the event window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severe-distress intervention level (</w:t>
            </w:r>
            <m:oMath>
              <m:r>
                <m:t>95</m:t>
              </m:r>
            </m:oMath>
            <w:r>
              <w:t xml:space="preserve">th pctile)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F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counterfactual loss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attributable to</w:t>
            </w:r>
            <w: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confounding robustness value</w:t>
            </w:r>
          </w:p>
        </w:tc>
      </w:tr>
    </w:tbl>
    <w:bookmarkEnd w:id="34"/>
    <w:p>
      <w:pPr>
        <w:pStyle w:val="BodyText"/>
      </w:pPr>
      <w:r>
        <w:t xml:space="preserve">Because every parent enters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 </w:t>
      </w:r>
      <w:r>
        <w:t xml:space="preserve">at lag</w:t>
      </w:r>
      <w:r>
        <w:t xml:space="preserve"> </w:t>
      </w:r>
      <m:oMath>
        <m:r>
          <m:t>t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1</m:t>
        </m:r>
      </m:oMath>
      <w:r>
        <w:t xml:space="preserve"> </w:t>
      </w:r>
      <w:r>
        <w:t xml:space="preserve">in the stress term,</w:t>
      </w:r>
      <w:r>
        <w:t xml:space="preserve"> </w:t>
      </w:r>
      <w:r>
        <w:t xml:space="preserve">while the contemporaneous term depends only on the exogenous observed flows, the</w:t>
      </w:r>
      <w:r>
        <w:t xml:space="preserve"> </w:t>
      </w:r>
      <w:r>
        <w:t xml:space="preserve">multi-entity system is well posed even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contains directed cycles, as the</w:t>
      </w:r>
      <w:r>
        <w:t xml:space="preserve"> </w:t>
      </w:r>
      <w:r>
        <w:t xml:space="preserve">following observation makes precise.</w:t>
      </w:r>
    </w:p>
    <w:bookmarkStart w:id="35" w:name="prop:wellposed"/>
    <w:p>
      <w:pPr>
        <w:pStyle w:val="BodyText"/>
      </w:pPr>
      <w:r>
        <w:rPr>
          <w:bCs/>
          <w:b/>
        </w:rPr>
        <w:t xml:space="preserve">Proposition 1</w:t>
      </w:r>
      <w:r>
        <w:t xml:space="preserve"> </w:t>
      </w:r>
      <w:r>
        <w:t xml:space="preserve">(Well-posedness of the lagged system).</w:t>
      </w:r>
      <w:r>
        <w:t xml:space="preserve"> </w:t>
      </w:r>
      <w:r>
        <w:t xml:space="preserve"> </w:t>
      </w:r>
      <w:r>
        <w:rPr>
          <w:iCs/>
          <w:i/>
        </w:rPr>
        <w:t xml:space="preserve">Given an initial state</w:t>
      </w:r>
      <w:r>
        <w:rPr>
          <w:iCs/>
          <w:i/>
        </w:rP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and a shock path</w:t>
      </w:r>
      <w:r>
        <w:rPr>
          <w:iCs/>
          <w:i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U</m:t>
            </m:r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iCs/>
          <w:i/>
        </w:rPr>
        <w:t xml:space="preserve">, the</w:t>
      </w:r>
      <w:r>
        <w:rPr>
          <w:iCs/>
          <w:i/>
        </w:rPr>
        <w:t xml:space="preserve"> </w:t>
      </w:r>
      <w:r>
        <w:rPr>
          <w:iCs/>
          <w:i/>
        </w:rPr>
        <w:t xml:space="preserve">trajectory</w:t>
      </w:r>
      <w:r>
        <w:rPr>
          <w:iCs/>
          <w:i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S</m:t>
            </m:r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generated by</w:t>
      </w:r>
      <w:r>
        <w:rPr>
          <w:iCs/>
          <w:i/>
        </w:rPr>
        <w:t xml:space="preserve"> </w:t>
      </w:r>
      <w:hyperlink w:anchor="eq:fi">
        <w:r>
          <w:rPr>
            <w:rStyle w:val="Hyperlink"/>
            <w:iCs/>
            <w:i/>
          </w:rPr>
          <w:t xml:space="preserve">[eq:fi]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is uniquely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determined by forward iteration, even when</w:t>
      </w:r>
      <w:r>
        <w:rPr>
          <w:iCs/>
          <w:i/>
        </w:rPr>
        <w:t xml:space="preserve"> </w:t>
      </w:r>
      <m:oMath>
        <m:r>
          <m:t>G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contains directed cycles.</w:t>
      </w:r>
    </w:p>
    <w:bookmarkEnd w:id="35"/>
    <w:p>
      <w:pPr>
        <w:pStyle w:val="BodyText"/>
      </w:pPr>
      <w:r>
        <w:rPr>
          <w:iCs/>
          <w:i/>
        </w:rPr>
        <w:t xml:space="preserve">Proof sketch.</w:t>
      </w:r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right-hand side of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references only</w:t>
      </w:r>
      <w:r>
        <w:t xml:space="preserve"> </w:t>
      </w:r>
      <w:r>
        <w:t xml:space="preserve">quantities indexed at</w:t>
      </w:r>
      <w:r>
        <w:t xml:space="preserve"> </w:t>
      </w:r>
      <m:oMath>
        <m:r>
          <m:t>t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1</m:t>
        </m:r>
      </m:oMath>
      <w:r>
        <w:t xml:space="preserve"> </w:t>
      </w:r>
      <w:r>
        <w:t xml:space="preserve">(parent stress) or exogenous quantities 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(flows, shocks). There is therefore no simultaneity among the time-</w:t>
      </w:r>
      <m:oMath>
        <m:r>
          <m:t>t</m:t>
        </m:r>
      </m:oMath>
      <w:r>
        <w:t xml:space="preserve"> </w:t>
      </w:r>
      <w:r>
        <w:t xml:space="preserve">stress</w:t>
      </w:r>
      <w:r>
        <w:t xml:space="preserve"> </w:t>
      </w:r>
      <w:r>
        <w:t xml:space="preserve">variables, and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computed in one vectorised step from information</w:t>
      </w:r>
      <w:r>
        <w:t xml:space="preserve"> </w:t>
      </w:r>
      <w:r>
        <w:t xml:space="preserve">available at</w:t>
      </w:r>
      <w:r>
        <w:t xml:space="preserve"> </w:t>
      </w:r>
      <m:oMath>
        <m:r>
          <m:t>t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1</m:t>
        </m:r>
      </m:oMath>
      <w:r>
        <w:t xml:space="preserve">. Induction 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gives existence and uniqueness. ◻</w:t>
      </w:r>
    </w:p>
    <w:p>
      <w:pPr>
        <w:pStyle w:val="BodyText"/>
      </w:pPr>
      <w:r>
        <w:t xml:space="preserve">Time, supplied by the ledger, breaks the simultaneity that would otherwise</w:t>
      </w:r>
      <w:r>
        <w:t xml:space="preserve"> </w:t>
      </w:r>
      <w:r>
        <w:t xml:space="preserve">require an equilibrium fixed-point computation for cyclic graphs such as</w:t>
      </w:r>
      <w:r>
        <w:t xml:space="preserve"> </w:t>
      </w:r>
      <w:r>
        <w:t xml:space="preserve">Binance</w:t>
      </w:r>
      <m:oMath>
        <m:r>
          <m:rPr>
            <m:sty m:val="p"/>
          </m:rPr>
          <m:t>↔</m:t>
        </m:r>
      </m:oMath>
      <w:r>
        <w:t xml:space="preserve">retail. Identification rests on three assumptions,</w:t>
      </w:r>
      <w:r>
        <w:t xml:space="preserve"> </w:t>
      </w:r>
      <w:r>
        <w:t xml:space="preserve">stated here as honestly as we can manage rather than as conveniences.</w:t>
      </w:r>
      <w:r>
        <w:t xml:space="preserve"> </w:t>
      </w:r>
      <w:r>
        <w:rPr>
          <w:iCs/>
          <w:i/>
        </w:rPr>
        <w:t xml:space="preserve">Temporal precedence</w:t>
      </w:r>
      <w:r>
        <w:t xml:space="preserve"> </w:t>
      </w:r>
      <w:r>
        <w:t xml:space="preserve">(A1)—that a flow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→</m:t>
            </m:r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strictly</w:t>
      </w:r>
      <w:r>
        <w:t xml:space="preserve"> </w:t>
      </w:r>
      <w:r>
        <w:t xml:space="preserve">precedes any effect 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′</m:t>
        </m:r>
        <m:r>
          <m:rPr>
            <m:sty m:val="p"/>
          </m:rPr>
          <m:t>&gt;</m:t>
        </m:r>
        <m:r>
          <m:t>t</m:t>
        </m:r>
      </m:oMath>
      <w:r>
        <w:t xml:space="preserve">—is made</w:t>
      </w:r>
      <w:r>
        <w:t xml:space="preserve"> </w:t>
      </w:r>
      <w:r>
        <w:rPr>
          <w:iCs/>
          <w:i/>
        </w:rPr>
        <w:t xml:space="preserve">observable</w:t>
      </w:r>
      <w:r>
        <w:t xml:space="preserve"> </w:t>
      </w:r>
      <w:r>
        <w:t xml:space="preserve">by blockchain</w:t>
      </w:r>
      <w:r>
        <w:t xml:space="preserve"> </w:t>
      </w:r>
      <w:r>
        <w:t xml:space="preserve">immutability and block timestamping, which reduces, but does not eliminate,</w:t>
      </w:r>
      <w:r>
        <w:t xml:space="preserve"> </w:t>
      </w:r>
      <w:r>
        <w:t xml:space="preserve">the timing ambiguity that Granger-style precedence on price series must</w:t>
      </w:r>
      <w:r>
        <w:t xml:space="preserve"> </w:t>
      </w:r>
      <w:r>
        <w:t xml:space="preserve">instead assume away: a transfer’s on-chain timestamp does not by itself</w:t>
      </w:r>
      <w:r>
        <w:t xml:space="preserve"> </w:t>
      </w:r>
      <w:r>
        <w:t xml:space="preserve">establish that the transfer is the operative cause of subsequent stress, only</w:t>
      </w:r>
      <w:r>
        <w:t xml:space="preserve"> </w:t>
      </w:r>
      <w:r>
        <w:t xml:space="preserve">that it could not be its effect.</w:t>
      </w:r>
      <w:r>
        <w:t xml:space="preserve"> </w:t>
      </w:r>
      <w:r>
        <w:rPr>
          <w:iCs/>
          <w:i/>
        </w:rPr>
        <w:t xml:space="preserve">No unobserved common cause for flow</w:t>
      </w:r>
      <w:r>
        <w:rPr>
          <w:iCs/>
          <w:i/>
        </w:rPr>
        <w:t xml:space="preserve"> </w:t>
      </w:r>
      <w:r>
        <w:rPr>
          <w:iCs/>
          <w:i/>
        </w:rPr>
        <w:t xml:space="preserve">edges</w:t>
      </w:r>
      <w:r>
        <w:t xml:space="preserve"> </w:t>
      </w:r>
      <w:r>
        <w:t xml:space="preserve">(A2)—that, conditional on the transaction graph up to</w:t>
      </w:r>
      <w:r>
        <w:t xml:space="preserve"> </w:t>
      </w:r>
      <m:oMath>
        <m:r>
          <m:t>t</m:t>
        </m:r>
      </m:oMath>
      <w:r>
        <w:t xml:space="preserve">, an edge</w:t>
      </w:r>
      <w:r>
        <w:t xml:space="preserve"> </w:t>
      </w:r>
      <m:oMath>
        <m:r>
          <m:t>i</m:t>
        </m:r>
        <m:r>
          <m:rPr>
            <m:sty m:val="p"/>
          </m:rPr>
          <m:t>→</m:t>
        </m:r>
        <m:r>
          <m:t>j</m:t>
        </m:r>
      </m:oMath>
      <w:r>
        <w:t xml:space="preserve"> </w:t>
      </w:r>
      <w:r>
        <w:t xml:space="preserve">reflects</w:t>
      </w:r>
      <w:r>
        <w:t xml:space="preserve"> </w:t>
      </w:r>
      <m:oMath>
        <m:r>
          <m:t>i</m:t>
        </m:r>
      </m:oMath>
      <w:r>
        <w:t xml:space="preserve">’s direct economic action on</w:t>
      </w:r>
      <w:r>
        <w:t xml:space="preserve"> </w:t>
      </w:r>
      <m:oMath>
        <m:r>
          <m:t>j</m:t>
        </m:r>
      </m:oMath>
      <w:r>
        <w:t xml:space="preserve">—is a strong</w:t>
      </w:r>
      <w:r>
        <w:t xml:space="preserve"> </w:t>
      </w:r>
      <w:r>
        <w:t xml:space="preserve">identifying assumption, not a property of the data we can simply assert away:</w:t>
      </w:r>
      <w:r>
        <w:t xml:space="preserve"> </w:t>
      </w:r>
      <w:r>
        <w:t xml:space="preserve">the ledger captures on-chain fund movements, but not the off-chain decision</w:t>
      </w:r>
      <w:r>
        <w:t xml:space="preserve"> </w:t>
      </w:r>
      <w:r>
        <w:t xml:space="preserve">processes that may generate them, so a CEX-internal pricing engine, an oracle</w:t>
      </w:r>
      <w:r>
        <w:t xml:space="preserve"> </w:t>
      </w:r>
      <w:r>
        <w:t xml:space="preserve">update, a market-wide price shock, a liquidator bot, or coordinated user</w:t>
      </w:r>
      <w:r>
        <w:t xml:space="preserve"> </w:t>
      </w:r>
      <w:r>
        <w:t xml:space="preserve">panic can each drive both the observed flow and the downstream stress without</w:t>
      </w:r>
      <w:r>
        <w:t xml:space="preserve"> </w:t>
      </w:r>
      <w:r>
        <w:t xml:space="preserve">the flow being the cause of the stress. We bound this threat through the</w:t>
      </w:r>
      <w:r>
        <w:t xml:space="preserve"> </w:t>
      </w:r>
      <w:r>
        <w:t xml:space="preserve">sensitivity analysis of Section </w:t>
      </w:r>
      <w:hyperlink w:anchor="subsec:design">
        <w:r>
          <w:rPr>
            <w:rStyle w:val="Hyperlink"/>
          </w:rPr>
          <w:t xml:space="preserve">3.3</w:t>
        </w:r>
      </w:hyperlink>
      <w:r>
        <w:t xml:space="preserve">, but it is not eliminated.</w:t>
      </w:r>
      <w:r>
        <w:t xml:space="preserve"> </w:t>
      </w:r>
      <w:r>
        <w:rPr>
          <w:iCs/>
          <w:i/>
        </w:rPr>
        <w:t xml:space="preserve">Monotone propagation along flow direction</w:t>
      </w:r>
      <w:r>
        <w:t xml:space="preserve"> </w:t>
      </w:r>
      <w:r>
        <w:t xml:space="preserve">(A3)—that distress 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 through realised flow paths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—is the</w:t>
      </w:r>
      <w:r>
        <w:t xml:space="preserve"> </w:t>
      </w:r>
      <w:r>
        <w:t xml:space="preserve">assumption that does the empirical work and is tested directly (H2) by the</w:t>
      </w:r>
      <w:r>
        <w:t xml:space="preserve"> </w:t>
      </w:r>
      <w:r>
        <w:t xml:space="preserve">edge-reversal experiment. The contrast with price-based causal</w:t>
      </w:r>
      <w:r>
        <w:t xml:space="preserve"> </w:t>
      </w:r>
      <w:r>
        <w:t xml:space="preserve">discovery, where both the graph and the equations must be estimated and their</w:t>
      </w:r>
      <w:r>
        <w:t xml:space="preserve"> </w:t>
      </w:r>
      <w:r>
        <w:t xml:space="preserve">errors compound, is the framework’s principal identification advantage.</w:t>
      </w:r>
    </w:p>
    <w:bookmarkEnd w:id="36"/>
    <w:bookmarkStart w:id="37" w:name="subsec:risk"/>
    <w:p>
      <w:pPr>
        <w:pStyle w:val="Heading2"/>
      </w:pPr>
      <w:r>
        <w:t xml:space="preserve">Interventional and counterfactual risk measures</w:t>
      </w:r>
    </w:p>
    <w:p>
      <w:pPr>
        <w:pStyle w:val="FirstParagraph"/>
      </w:pPr>
      <w:r>
        <w:t xml:space="preserve">We summarise an entity’s distress over an event window</w:t>
      </w:r>
      <w:r>
        <w:t xml:space="preserve"> </w:t>
      </w:r>
      <m:oMath>
        <m:r>
          <m:rPr>
            <m:sty m:val="p"/>
            <m:scr m:val="script"/>
          </m:rPr>
          <m:t>T</m:t>
        </m:r>
      </m:oMath>
      <w:r>
        <w:t xml:space="preserve"> </w:t>
      </w:r>
      <w:r>
        <w:t xml:space="preserve">by the</w:t>
      </w:r>
      <w:r>
        <w:t xml:space="preserve"> </w:t>
      </w:r>
      <w:r>
        <w:t xml:space="preserve">non-negative, additive loss functional</w:t>
      </w:r>
      <w:r>
        <w:t xml:space="preserve"> </w:t>
      </w:r>
      <m:oMath>
        <m:sSub>
          <m:e>
            <m:r>
              <m:t>L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ty m:val="p"/>
                <m:scr m:val="script"/>
              </m:rP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max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</w:t>
      </w:r>
      <w:r>
        <w:t xml:space="preserve"> </w:t>
      </w:r>
      <w:r>
        <w:t xml:space="preserve">The interventional measure applies Pearl’s do-operator to</w:t>
      </w:r>
      <w:r>
        <w:t xml:space="preserve"> </w:t>
      </w:r>
      <w:hyperlink w:anchor="eq:scm">
        <w:r>
          <w:rPr>
            <w:rStyle w:val="Hyperlink"/>
          </w:rPr>
          <w:t xml:space="preserve">[eq:scm]</w:t>
        </w:r>
      </w:hyperlink>
      <w:r>
        <w:t xml:space="preserve">: we</w:t>
      </w:r>
      <w:r>
        <w:t xml:space="preserve"> </w:t>
      </w:r>
      <w:r>
        <w:t xml:space="preserve">force entity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 a distressed state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severing its own parents, and</w:t>
      </w:r>
      <w:r>
        <w:t xml:space="preserve"> </w:t>
      </w:r>
      <w:r>
        <w:t xml:space="preserve">propagate forward through the remaining structural equations, defining On-Chain</w:t>
      </w:r>
      <w:r>
        <w:t xml:space="preserve"> </w:t>
      </w:r>
      <w:r>
        <w:t xml:space="preserve">Causal CoVaR as the conditional value-at-risk of</w:t>
      </w:r>
      <w:r>
        <w:t xml:space="preserve"> </w:t>
      </w:r>
      <m:oMath>
        <m:r>
          <m:t>j</m:t>
        </m:r>
      </m:oMath>
      <w:r>
        <w:t xml:space="preserve">’s loss,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OC-CoVaR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(</m:t>
          </m:r>
          <m:r>
            <m:t>j</m:t>
          </m:r>
          <m:r>
            <m:t> </m:t>
          </m:r>
          <m:d>
            <m:dPr>
              <m:begChr m:val="|"/>
              <m:endChr m:val=")"/>
              <m:sepChr m:val=""/>
              <m:grow/>
            </m:dPr>
            <m:e>
              <m:r>
                <m:t> 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t>q</m:t>
              </m:r>
            </m:sub>
          </m:sSub>
          <m:r>
            <m:t>​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j</m:t>
              </m:r>
            </m:sub>
          </m:sSub>
          <m:r>
            <m:t> </m:t>
          </m:r>
          <m:d>
            <m:dPr>
              <m:begChr m:val="|"/>
              <m:endChr m:val=")"/>
              <m:sepChr m:val=""/>
              <m:grow/>
            </m:dPr>
            <m:e>
              <m:r>
                <m:t> 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obtained by Monte-Carlo propagation: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we draw a shock path</w:t>
      </w:r>
      <w:r>
        <w:t xml:space="preserve"> </w:t>
      </w:r>
      <m:oMath>
        <m:sSup>
          <m:e>
            <m:r>
              <m:t>U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</m:e>
            </m:d>
          </m:sup>
        </m:sSup>
      </m:oMath>
      <w:r>
        <w:t xml:space="preserve"> </w:t>
      </w:r>
      <w:r>
        <w:t xml:space="preserve">by block-bootstrapping the fitted</w:t>
      </w:r>
      <w:r>
        <w:t xml:space="preserve"> </w:t>
      </w:r>
      <w:r>
        <w:t xml:space="preserve">residuals, simulate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 </w:t>
      </w:r>
      <w:r>
        <w:t xml:space="preserve">forward under the intervention to obtain</w:t>
      </w:r>
      <w:r>
        <w:t xml:space="preserve"> </w:t>
      </w:r>
      <m:oMath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</m:e>
            </m:d>
          </m:sup>
        </m:sSubSup>
      </m:oMath>
      <w:r>
        <w:t xml:space="preserve">, and form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</m:e>
            </m:d>
          </m:sup>
        </m:sSubSup>
      </m:oMath>
      <w:r>
        <w:t xml:space="preserve">, so that the estimator is the empirical</w:t>
      </w:r>
      <w:r>
        <w:t xml:space="preserve"> </w:t>
      </w:r>
      <w:r>
        <w:t xml:space="preserve">quantile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{</m:t>
            </m:r>
            <m:sSubSup>
              <m:e>
                <m:r>
                  <m:t>L</m:t>
                </m:r>
              </m:e>
              <m:sub>
                <m:r>
                  <m:t>j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</m:sup>
            </m:sSubSup>
            <m:sSubSup>
              <m:e>
                <m:r>
                  <m:rPr>
                    <m:sty m:val="p"/>
                  </m:rPr>
                  <m:t>}</m:t>
                </m:r>
              </m:e>
              <m:sub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M</m:t>
                </m:r>
              </m:sup>
            </m:sSubSup>
          </m:e>
        </m:d>
      </m:oMath>
      <w:r>
        <w:t xml:space="preserve">. By analogy with</w:t>
      </w:r>
      <w:r>
        <w:t xml:space="preserve"> </w:t>
      </w:r>
      <m:oMath>
        <m:r>
          <m:t>Δ</m:t>
        </m:r>
      </m:oMath>
      <w:r>
        <w:t xml:space="preserve">CoVaR,</w:t>
      </w:r>
      <w:r>
        <w:t xml:space="preserve"> </w:t>
      </w:r>
      <w:r>
        <w:t xml:space="preserve">the marginal systemic contribution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contrasts the distressed</w:t>
      </w:r>
      <w:r>
        <w:t xml:space="preserve"> </w:t>
      </w:r>
      <w:r>
        <w:t xml:space="preserve">intervention with a median one,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rPr>
                  <m:nor/>
                  <m:sty m:val="p"/>
                </m:rPr>
                <m:t>OC-CoVaR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(</m:t>
          </m:r>
          <m:r>
            <m:t>j</m:t>
          </m:r>
          <m:r>
            <m:t> </m:t>
          </m:r>
          <m:d>
            <m:dPr>
              <m:begChr m:val="|"/>
              <m:endChr m:val="|"/>
              <m:sepChr m:val=""/>
              <m:grow/>
            </m:dPr>
            <m:e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rPr>
                  <m:sty m:val="p"/>
                </m:rPr>
                <m:t>=</m:t>
              </m:r>
              <m:r>
                <m:t> </m:t>
              </m:r>
              <m:sSub>
                <m:e>
                  <m:r>
                    <m:rPr>
                      <m:nor/>
                      <m:sty m:val="p"/>
                    </m:rPr>
                    <m:t>OC-CoVaR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t>j</m:t>
              </m:r>
              <m:r>
                <m:t> 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OC-CoVaR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m:oMath>
        <m:r>
          <m:t>95</m:t>
        </m:r>
      </m:oMath>
      <w:r>
        <w:t xml:space="preserve">th percentile of</w:t>
      </w:r>
      <w:r>
        <w:t xml:space="preserve"> </w:t>
      </w:r>
      <m:oMath>
        <m:r>
          <m:t>i</m:t>
        </m:r>
      </m:oMath>
      <w:r>
        <w:t xml:space="preserve">’s historical stress and the baseline</w:t>
      </w:r>
      <w:r>
        <w:t xml:space="preserve"> </w:t>
      </w:r>
      <w:r>
        <w:t xml:space="preserve">the median (</w:t>
      </w:r>
      <m:oMath>
        <m:r>
          <m:t>0</m:t>
        </m:r>
      </m:oMath>
      <w:r>
        <w:t xml:space="preserve"> </w:t>
      </w:r>
      <w:r>
        <w:t xml:space="preserve">after standardisation); we rank entities by their total</w:t>
      </w:r>
      <w:r>
        <w:t xml:space="preserve"> </w:t>
      </w:r>
      <w:r>
        <w:rPr>
          <w:iCs/>
          <w:i/>
        </w:rPr>
        <w:t xml:space="preserve">exported</w:t>
      </w:r>
      <w:r>
        <w:t xml:space="preserve"> </w:t>
      </w:r>
      <w:r>
        <w:t xml:space="preserve">tail risk</w:t>
      </w:r>
      <w: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≠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max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Δ</m:t>
            </m:r>
            <m:sSub>
              <m:e>
                <m:r>
                  <m:rPr>
                    <m:nor/>
                    <m:sty m:val="p"/>
                  </m:rPr>
                  <m:t>OC-CoVaR</m:t>
                </m:r>
              </m:e>
              <m:sub>
                <m:r>
                  <m:t>q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  <m:r>
                  <m:t> 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i</m:t>
                </m:r>
              </m:e>
            </m:d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Equation</w:t>
      </w:r>
      <w:r>
        <w:t xml:space="preserve"> </w:t>
      </w:r>
      <w:hyperlink w:anchor="eq:deltaoccovar">
        <w:r>
          <w:rPr>
            <w:rStyle w:val="Hyperlink"/>
          </w:rPr>
          <w:t xml:space="preserve">[eq:deltaoccovar]</w:t>
        </w:r>
      </w:hyperlink>
      <w:r>
        <w:t xml:space="preserve"> </w:t>
      </w:r>
      <w:r>
        <w:t xml:space="preserve">is the network-causal analogue of</w:t>
      </w:r>
      <w:r>
        <w:t xml:space="preserve"> </w:t>
      </w:r>
      <m:oMath>
        <m:r>
          <m:t>Δ</m:t>
        </m:r>
      </m:oMath>
      <w:r>
        <w:t xml:space="preserve">CoVaR</w:t>
      </w:r>
      <w:r>
        <w:t xml:space="preserve"> </w:t>
      </w:r>
      <w:r>
        <w:t xml:space="preserve">(Adrian and Brunnermeier 2016)</w:t>
      </w:r>
      <w:r>
        <w:t xml:space="preserve">: both contrast a distressed against a median conditioning</w:t>
      </w:r>
      <w:r>
        <w:t xml:space="preserve"> </w:t>
      </w:r>
      <w:r>
        <w:t xml:space="preserve">state, but</w:t>
      </w:r>
      <w:r>
        <w:t xml:space="preserve"> </w:t>
      </w:r>
      <m:oMath>
        <m:r>
          <m:t>Δ</m:t>
        </m:r>
      </m:oMath>
      <w:r>
        <w:t xml:space="preserve">CoVaR conditions on a statistical event and reads off a</w:t>
      </w:r>
      <w:r>
        <w:t xml:space="preserve"> </w:t>
      </w:r>
      <w:r>
        <w:t xml:space="preserve">conditional quantile of returns, whereas</w:t>
      </w:r>
      <w:r>
        <w:t xml:space="preserve"> </w:t>
      </w:r>
      <m:oMath>
        <m:r>
          <m:t>Δ</m:t>
        </m:r>
      </m:oMath>
      <w:r>
        <w:t xml:space="preserve">OC-CoVaR conditions on an</w:t>
      </w:r>
      <w:r>
        <w:t xml:space="preserve"> </w:t>
      </w:r>
      <w:r>
        <w:rPr>
          <w:iCs/>
          <w:i/>
        </w:rPr>
        <w:t xml:space="preserve">intervention</w:t>
      </w:r>
      <w:r>
        <w:t xml:space="preserve"> </w:t>
      </w:r>
      <w:r>
        <w:t xml:space="preserve">that severs</w:t>
      </w:r>
      <w:r>
        <w:t xml:space="preserve"> </w:t>
      </w:r>
      <m:oMath>
        <m:r>
          <m:t>i</m:t>
        </m:r>
      </m:oMath>
      <w:r>
        <w:t xml:space="preserve">’s parents and propagates the shock through</w:t>
      </w:r>
      <w:r>
        <w:t xml:space="preserve"> </w:t>
      </w:r>
      <w:r>
        <w:t xml:space="preserve">the observed structural equations. In the degenerate case of a single edge</w:t>
      </w:r>
      <w:r>
        <w:t xml:space="preserve"> </w:t>
      </w:r>
      <m:oMath>
        <m:r>
          <m:t>i</m:t>
        </m:r>
        <m:r>
          <m:rPr>
            <m:sty m:val="p"/>
          </m:rPr>
          <m:t>→</m:t>
        </m:r>
        <m:r>
          <m:t>j</m:t>
        </m:r>
      </m:oMath>
      <w:r>
        <w:t xml:space="preserve"> </w:t>
      </w:r>
      <w:r>
        <w:t xml:space="preserve">with linear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no further descendants,</w:t>
      </w:r>
      <w:r>
        <w:t xml:space="preserve"> </w:t>
      </w:r>
      <m:oMath>
        <m:r>
          <m:t>Δ</m:t>
        </m:r>
      </m:oMath>
      <w:r>
        <w:t xml:space="preserve">OC-CoVaR reduces</w:t>
      </w:r>
      <w:r>
        <w:t xml:space="preserve"> </w:t>
      </w:r>
      <w:r>
        <w:t xml:space="preserve">to a quantile shift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proportional to the structural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mirroring 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Δ</m:t>
        </m:r>
      </m:oMath>
      <w:r>
        <w:t xml:space="preserve">CoVaR; the network generalisation sums</w:t>
      </w:r>
      <w:r>
        <w:t xml:space="preserve"> </w:t>
      </w:r>
      <w:r>
        <w:t xml:space="preserve">over all directed paths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The counterfactual measure goes one level higher in Pearl’s hierarchy. Following</w:t>
      </w:r>
      <w:r>
        <w:t xml:space="preserve"> </w:t>
      </w:r>
      <w:r>
        <w:t xml:space="preserve">the abduction–action–prediction procedure</w:t>
      </w:r>
      <w:r>
        <w:t xml:space="preserve"> </w:t>
      </w:r>
      <w:r>
        <w:t xml:space="preserve">(Pearl 2009, 2019)</w:t>
      </w:r>
      <w:r>
        <w:t xml:space="preserve">,</w:t>
      </w:r>
      <w:r>
        <w:t xml:space="preserve"> </w:t>
      </w:r>
      <w:r>
        <w:t xml:space="preserve">we (i)</w:t>
      </w:r>
      <w:r>
        <w:t xml:space="preserve"> </w:t>
      </w:r>
      <w:r>
        <w:rPr>
          <w:iCs/>
          <w:i/>
        </w:rPr>
        <w:t xml:space="preserve">abduct</w:t>
      </w:r>
      <w:r>
        <w:t xml:space="preserve"> </w:t>
      </w:r>
      <w:r>
        <w:t xml:space="preserve">the realised exogenous shocks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;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from observed data; (ii) take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action</w:t>
      </w:r>
      <w:r>
        <w:t xml:space="preserve"> </w:t>
      </w:r>
      <w:r>
        <w:t xml:space="preserve">of replacing</w:t>
      </w:r>
      <w:r>
        <w:t xml:space="preserve"> </w:t>
      </w:r>
      <m:oMath>
        <m:r>
          <m:t>i</m:t>
        </m:r>
      </m:oMath>
      <w:r>
        <w:t xml:space="preserve">’s realised trajectory by its pre-crisis</w:t>
      </w:r>
      <w:r>
        <w:t xml:space="preserve"> </w:t>
      </w:r>
      <w:r>
        <w:t xml:space="preserve">level,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Sup>
              <m:e>
                <m:r>
                  <m:t>S</m:t>
                </m:r>
              </m:e>
              <m:sub>
                <m:r>
                  <m:t>i</m:t>
                </m:r>
              </m:sub>
              <m:sup>
                <m:r>
                  <m:rPr>
                    <m:nor/>
                    <m:sty m:val="p"/>
                  </m:rPr>
                  <m:t>pre</m:t>
                </m:r>
              </m:sup>
            </m:sSubSup>
          </m:e>
        </m:d>
      </m:oMath>
      <w:r>
        <w:t xml:space="preserve">, holding all other entities’ shocks fixed</w:t>
      </w:r>
      <w:r>
        <w:t xml:space="preserve"> </w:t>
      </w:r>
      <w:r>
        <w:t xml:space="preserve">at their abduced values; and (iii)</w:t>
      </w:r>
      <w:r>
        <w:t xml:space="preserve"> </w:t>
      </w:r>
      <w:r>
        <w:rPr>
          <w:iCs/>
          <w:i/>
        </w:rPr>
        <w:t xml:space="preserve">predict</w:t>
      </w:r>
      <w:r>
        <w:t xml:space="preserve"> </w:t>
      </w:r>
      <w:r>
        <w:t xml:space="preserve">downstream states to obtain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r>
              <m:t> 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nor/>
                        <m:sty m:val="p"/>
                      </m:rPr>
                      <m:t>pre</m:t>
                    </m:r>
                  </m:sup>
                </m:sSubSup>
              </m:e>
            </m:d>
          </m:sup>
        </m:sSubSup>
      </m:oMath>
      <w:r>
        <w:t xml:space="preserve">. The attribution and its share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Δ</m:t>
              </m:r>
            </m:e>
            <m:sub>
              <m:r>
                <m:t>i</m:t>
              </m:r>
            </m:sub>
            <m:sup>
              <m:r>
                <m:t>C</m:t>
              </m:r>
              <m:r>
                <m:t>F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bSup>
            <m:e>
              <m:r>
                <m:t>L</m:t>
              </m:r>
            </m:e>
            <m:sub>
              <m:r>
                <m:t>j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L</m:t>
              </m:r>
            </m:e>
            <m:sub>
              <m:r>
                <m:t>j</m:t>
              </m:r>
            </m:sub>
            <m:sup>
              <m:r>
                <m:t> 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nor/>
                          <m:sty m:val="p"/>
                        </m:rPr>
                        <m:t>pre</m:t>
                      </m:r>
                    </m:sup>
                  </m:sSubSup>
                </m:e>
              </m:d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share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Sup>
                <m:e>
                  <m: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F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</m:e>
              </m:d>
            </m:num>
            <m:den>
              <m:sSubSup>
                <m:e>
                  <m:r>
                    <m:t>L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nor/>
                      <m:sty m:val="p"/>
                    </m:rPr>
                    <m:t>obs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quantity</w:t>
      </w:r>
      <w:r>
        <w:t xml:space="preserve"> </w:t>
      </w:r>
      <m:oMath>
        <m:sSubSup>
          <m:e>
            <m:r>
              <m:t>Δ</m:t>
            </m:r>
          </m:e>
          <m:sub>
            <m:r>
              <m:t>i</m:t>
            </m:r>
          </m:sub>
          <m:sup>
            <m:r>
              <m:t>C</m:t>
            </m:r>
            <m:r>
              <m:t>F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j</m:t>
            </m:r>
          </m:e>
        </m:d>
      </m:oMath>
      <w:r>
        <w:t xml:space="preserve"> </w:t>
      </w:r>
      <w:r>
        <w:t xml:space="preserve">answers a question no associational measure can</w:t>
      </w:r>
      <w:r>
        <w:t xml:space="preserve"> </w:t>
      </w:r>
      <w:r>
        <w:t xml:space="preserve">pose: how much of</w:t>
      </w:r>
      <w:r>
        <w:t xml:space="preserve"> </w:t>
      </w:r>
      <m:oMath>
        <m:r>
          <m:t>j</m:t>
        </m:r>
      </m:oMath>
      <w:r>
        <w:t xml:space="preserve">’s realised loss would not have occurred had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never</w:t>
      </w:r>
      <w:r>
        <w:t xml:space="preserve"> </w:t>
      </w:r>
      <w:r>
        <w:t xml:space="preserve">become distressed, holding everything else exactly as it unfolded? The</w:t>
      </w:r>
      <w:r>
        <w:t xml:space="preserve"> </w:t>
      </w:r>
      <w:r>
        <w:t xml:space="preserve">counterfactual is explicitly</w:t>
      </w:r>
      <w:r>
        <w:t xml:space="preserve"> </w:t>
      </w:r>
      <w:r>
        <w:rPr>
          <w:iCs/>
          <w:i/>
        </w:rPr>
        <w:t xml:space="preserve">model-relative and path-specific</w:t>
      </w:r>
      <w:r>
        <w:t xml:space="preserve">—it holds</w:t>
      </w:r>
      <w:r>
        <w:t xml:space="preserve"> </w:t>
      </w:r>
      <w:r>
        <w:t xml:space="preserve">all other entities’ abduced shocks fixed, rather than re-deriving the whole</w:t>
      </w:r>
      <w:r>
        <w:t xml:space="preserve"> </w:t>
      </w:r>
      <w:r>
        <w:t xml:space="preserve">cross-world equilibrium—and is made order-robust through the Shapley</w:t>
      </w:r>
      <w:r>
        <w:t xml:space="preserve"> </w:t>
      </w:r>
      <w:r>
        <w:t xml:space="preserve">decomposition of Section </w:t>
      </w:r>
      <w:hyperlink w:anchor="subsec:h345">
        <w:r>
          <w:rPr>
            <w:rStyle w:val="Hyperlink"/>
          </w:rPr>
          <w:t xml:space="preserve">5.2</w:t>
        </w:r>
      </w:hyperlink>
      <w:r>
        <w:t xml:space="preserve">. To our knowledge it is the first</w:t>
      </w:r>
      <w:r>
        <w:t xml:space="preserve"> </w:t>
      </w:r>
      <w:r>
        <w:t xml:space="preserve">on-chain counterfactual (Level-3) systemic-risk attribution for crypto markets,</w:t>
      </w:r>
      <w:r>
        <w:t xml:space="preserve"> </w:t>
      </w:r>
      <w:r>
        <w:t xml:space="preserve">and one of the first Pearl Level-3 attribution measures in finance.</w:t>
      </w:r>
    </w:p>
    <w:bookmarkEnd w:id="37"/>
    <w:bookmarkStart w:id="38" w:name="subsec:design"/>
    <w:p>
      <w:pPr>
        <w:pStyle w:val="Heading2"/>
      </w:pPr>
      <w:r>
        <w:t xml:space="preserve">Validation design, sensitivity, and baselines</w:t>
      </w:r>
    </w:p>
    <w:p>
      <w:pPr>
        <w:pStyle w:val="FirstParagraph"/>
      </w:pPr>
      <w:r>
        <w:t xml:space="preserve">The directional assumption A3 is tested rather than assumed. We construct three</w:t>
      </w:r>
      <w:r>
        <w:t xml:space="preserve"> </w:t>
      </w:r>
      <w:r>
        <w:t xml:space="preserve">variants of</w:t>
      </w:r>
      <w:r>
        <w:t xml:space="preserve"> </w:t>
      </w:r>
      <m:oMath>
        <m:r>
          <m:t>G</m:t>
        </m:r>
      </m:oMath>
      <w:r>
        <w:t xml:space="preserve">—the true-direction graph, a reversed graph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p>
      </m:oMath>
      <w:r>
        <w:t xml:space="preserve"> </w:t>
      </w:r>
      <w:r>
        <w:t xml:space="preserve">(every edge flipped), and a symmetric/undirected graph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p>
        </m:sSup>
      </m:oMath>
      <w:r>
        <w:t xml:space="preserve">—fit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 </w:t>
      </w:r>
      <w:r>
        <w:t xml:space="preserve">on each over the estimation window, and compare one-step-ahead</w:t>
      </w:r>
      <w:r>
        <w:t xml:space="preserve"> </w:t>
      </w:r>
      <w:r>
        <w:t xml:space="preserve">prediction of event-window stress through the stress-weighted root-mean-square</w:t>
      </w:r>
      <w:r>
        <w:t xml:space="preserve"> </w:t>
      </w:r>
      <w:r>
        <w:t xml:space="preserve">error (RMSE)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S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true-direction model attains the lowest RMSE this is empirical evidence</w:t>
      </w:r>
      <w:r>
        <w:t xml:space="preserve"> </w:t>
      </w:r>
      <w:r>
        <w:t xml:space="preserve">for A3; if not, A3 must be qualified to specific edge types. Because A2 is not</w:t>
      </w:r>
      <w:r>
        <w:t xml:space="preserve"> </w:t>
      </w:r>
      <w:r>
        <w:t xml:space="preserve">directly testable, we additionally quantify how strong a hidden confounder</w:t>
      </w:r>
      <w:r>
        <w:t xml:space="preserve"> </w:t>
      </w:r>
      <w:r>
        <w:t xml:space="preserve">(e.g. a CEX-internal pricing engine) would have to be to overturn each edge,</w:t>
      </w:r>
      <w:r>
        <w:t xml:space="preserve"> </w:t>
      </w:r>
      <w:r>
        <w:t xml:space="preserve">using the robustness value of Cinelli and Hazlett</w:t>
      </w:r>
      <w:r>
        <w:t xml:space="preserve"> </w:t>
      </w:r>
      <w:r>
        <w:t xml:space="preserve">(2020)</w:t>
      </w:r>
      <w:r>
        <w:t xml:space="preserve">:</w:t>
      </w:r>
      <w:r>
        <w:t xml:space="preserve"> </w:t>
      </w:r>
      <w:r>
        <w:t xml:space="preserve">for a coefficient with</w:t>
      </w:r>
      <w:r>
        <w:t xml:space="preserve"> </w:t>
      </w:r>
      <m:oMath>
        <m:r>
          <m:t>t</m:t>
        </m:r>
      </m:oMath>
      <w:r>
        <w:t xml:space="preserve">-statistic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degrees of freedom, 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V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−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is the share of residual variance an unobserved confounder must explain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the parent and the child to drive the coefficient to zero; larger</w:t>
      </w:r>
      <w:r>
        <w:t xml:space="preserve"> </w:t>
      </w:r>
      <m:oMath>
        <m:r>
          <m:t>R</m:t>
        </m:r>
        <m:r>
          <m:t>V</m:t>
        </m:r>
      </m:oMath>
      <w:r>
        <w:t xml:space="preserve"> </w:t>
      </w:r>
      <w:r>
        <w:t xml:space="preserve">means a finding is harder to explain away. Finally, we benchmark against</w:t>
      </w:r>
      <w:r>
        <w:t xml:space="preserve"> </w:t>
      </w:r>
      <m:oMath>
        <m:r>
          <m:t>Δ</m:t>
        </m:r>
      </m:oMath>
      <w:r>
        <w:t xml:space="preserve">CoVaR</w:t>
      </w:r>
      <w:r>
        <w:t xml:space="preserve"> </w:t>
      </w:r>
      <w:r>
        <w:t xml:space="preserve">(Adrian and Brunnermeier 2016)</w:t>
      </w:r>
      <w:r>
        <w:t xml:space="preserve">, estimated by the quantile regression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i</m:t>
            </m:r>
          </m:sub>
        </m:sSub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sSub>
          <m:e>
            <m:r>
              <m:rPr>
                <m:nor/>
                <m:sty m:val="p"/>
              </m:rPr>
              <m:t>CoVaR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q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0.5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d>
      </m:oMath>
      <w:r>
        <w:t xml:space="preserve">; against MES</w:t>
      </w:r>
      <w:r>
        <w:t xml:space="preserve"> </w:t>
      </w:r>
      <w:r>
        <w:t xml:space="preserve">(Acharya et al. 2017)</w:t>
      </w:r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MES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p>
              <m:e>
                <m:r>
                  <m:t>r</m:t>
                </m:r>
              </m:e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y</m:t>
                </m:r>
                <m:r>
                  <m:rPr>
                    <m:sty m:val="p"/>
                  </m:rPr>
                  <m:t>s</m:t>
                </m:r>
              </m:sup>
            </m:sSup>
            <m:r>
              <m:rPr>
                <m:sty m:val="p"/>
              </m:rPr>
              <m:t>≤</m:t>
            </m:r>
            <m:sSub>
              <m:e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q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r</m:t>
                    </m:r>
                  </m:e>
                  <m:sup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y</m:t>
                    </m:r>
                    <m:r>
                      <m:rPr>
                        <m:sty m:val="p"/>
                      </m:rPr>
                      <m:t>s</m:t>
                    </m:r>
                  </m:sup>
                </m:sSup>
              </m:e>
            </m:d>
          </m:e>
        </m:d>
      </m:oMath>
      <w:r>
        <w:t xml:space="preserve">; and,</w:t>
      </w:r>
      <w:r>
        <w:t xml:space="preserve"> </w:t>
      </w:r>
      <w:r>
        <w:t xml:space="preserve">for the central H1 comparison, against the estimated-graph school reproduced on</w:t>
      </w:r>
      <w:r>
        <w:t xml:space="preserve"> </w:t>
      </w:r>
      <w:r>
        <w:t xml:space="preserve">our data—a Granger graph</w:t>
      </w:r>
      <w:r>
        <w:t xml:space="preserve"> </w:t>
      </w:r>
      <w:r>
        <w:t xml:space="preserve">(Granger 1969)</w:t>
      </w:r>
      <w:r>
        <w:t xml:space="preserve"> </w:t>
      </w:r>
      <w:r>
        <w:t xml:space="preserve">and a partial-correlation graph</w:t>
      </w:r>
      <w:r>
        <w:t xml:space="preserve"> </w:t>
      </w:r>
      <w:r>
        <w:t xml:space="preserve">(Giudici and Parisi 2018)</w:t>
      </w:r>
      <w:r>
        <w:t xml:space="preserve"> </w:t>
      </w:r>
      <w:r>
        <w:t xml:space="preserve">over the same entity node set, fed through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VEIN machinery so that only the graph source differs.</w:t>
      </w:r>
      <w:r>
        <w:t xml:space="preserve"> </w:t>
      </w:r>
      <w:r>
        <w:t xml:space="preserve">Algorithm </w:t>
      </w:r>
      <w:hyperlink w:anchor="alg:vein">
        <w:r>
          <w:rPr>
            <w:rStyle w:val="Hyperlink"/>
          </w:rPr>
          <w:t xml:space="preserve">[alg:vein]</w:t>
        </w:r>
      </w:hyperlink>
      <w:r>
        <w:t xml:space="preserve"> </w:t>
      </w:r>
      <w:r>
        <w:t xml:space="preserve">collects the end-to-end procedure.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decoded on-chain transfers, price/return data, entity labels, event window</w:t>
      </w:r>
      <w:r>
        <w:t xml:space="preserve"> </w:t>
      </w:r>
      <m:oMath>
        <m:r>
          <m:rPr>
            <m:sty m:val="p"/>
            <m:scr m:val="script"/>
          </m:rPr>
          <m:t>T</m:t>
        </m:r>
      </m:oMath>
      <w:r>
        <w:t xml:space="preserve"> </w:t>
      </w:r>
      <w:r>
        <w:t xml:space="preserve">$G \gets \textsc{ResolveEntities}(\text{transfers}, \text{labels})$</w:t>
      </w:r>
      <w:r>
        <w:t xml:space="preserve"> </w:t>
      </w:r>
      <w:r>
        <w:t xml:space="preserve">$\hat\theta_i \gets \textsc{FitRidge}\big(\mathrm{pa}(i,G),\, F_{\mathrm{pa}(i)\to i},\, S^{\text{hist}}_i\big)$</w:t>
      </w:r>
      <w:r>
        <w:t xml:space="preserve"> </w:t>
      </w:r>
      <w:r>
        <w:t xml:space="preserve">$\Delta\text{OC-CoVaR}_q(j\,|\,i) \gets \textsc{MonteCarloPropagate}(G,\{f_k\},\mathrm{do}(S_i=s^\ast),M)$</w:t>
      </w:r>
      <w:r>
        <w:t xml:space="preserve"> </w:t>
      </w:r>
      <w:r>
        <w:t xml:space="preserve">$\widehat U \gets \textsc{Abduct}(G,\{f_k\},\text{data})$</w:t>
      </w:r>
      <w:r>
        <w:t xml:space="preserve">;</w:t>
      </w:r>
      <w:r>
        <w:t xml:space="preserve"> </w:t>
      </w:r>
      <w:r>
        <w:t xml:space="preserve">$L_j^{cf} \gets \textsc{Predict}(G,\{f_k\},\widehat U,\mathrm{do}(S_i=S_i^{\text{pre}}))$</w:t>
      </w:r>
      <w:r>
        <w:t xml:space="preserve"> </w:t>
      </w:r>
      <m:oMath>
        <m:sSubSup>
          <m:e>
            <m:r>
              <m:t>Δ</m:t>
            </m:r>
          </m:e>
          <m:sub>
            <m:r>
              <m:t>i</m:t>
            </m:r>
          </m:sub>
          <m:sup>
            <m:r>
              <m:t>C</m:t>
            </m:r>
            <m:r>
              <m:t>F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←</m:t>
        </m:r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nor/>
                <m:sty m:val="p"/>
              </m:rPr>
              <m:t>obs</m:t>
            </m:r>
          </m:sup>
        </m:sSubSup>
        <m:r>
          <m:rPr>
            <m:sty m:val="p"/>
          </m:rPr>
          <m:t>−</m:t>
        </m:r>
        <m:sSubSup>
          <m:e>
            <m:r>
              <m:t>L</m:t>
            </m:r>
          </m:e>
          <m:sub>
            <m:r>
              <m:t>j</m:t>
            </m:r>
          </m:sub>
          <m:sup>
            <m:r>
              <m:t>c</m:t>
            </m:r>
            <m:r>
              <m:t>f</m:t>
            </m:r>
          </m:sup>
        </m:sSubSup>
      </m:oMath>
      <w:r>
        <w:t xml:space="preserve"> </w:t>
      </w:r>
      <w:r>
        <w:t xml:space="preserve">$G^{\mathrm{rev}},G^{\mathrm{sym}} \gets \textsc{Reverse}(G),\textsc{Symmetrise}(G)$</w:t>
      </w:r>
      <w:r>
        <w:t xml:space="preserve">;</w:t>
      </w:r>
      <w:r>
        <w:t xml:space="preserve"> </w:t>
      </w:r>
      <w:r>
        <w:rPr>
          <w:smallCaps/>
        </w:rPr>
        <w:t xml:space="preserve">CompareAccuracy</w:t>
      </w:r>
      <m:oMath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y</m:t>
                </m:r>
                <m:r>
                  <m:rPr>
                    <m:sty m:val="p"/>
                  </m:rPr>
                  <m:t>m</m:t>
                </m:r>
              </m:sup>
            </m:sSup>
          </m:e>
        </m:d>
      </m:oMath>
      <w:r>
        <w:t xml:space="preserve"> </w:t>
      </w:r>
      <w:r>
        <w:rPr>
          <w:bCs/>
          <w:b/>
        </w:rPr>
        <w:t xml:space="preserve">Output:</w:t>
      </w:r>
      <w:r>
        <w:t xml:space="preserve"> </w:t>
      </w:r>
      <w:r>
        <w:t xml:space="preserve">OC-CoVaR ranking, counterfactual attributions, falsification + validity battery</w:t>
      </w:r>
    </w:p>
    <w:bookmarkEnd w:id="38"/>
    <w:bookmarkEnd w:id="39"/>
    <w:bookmarkStart w:id="52" w:name="sec:data"/>
    <w:p>
      <w:pPr>
        <w:pStyle w:val="Heading1"/>
      </w:pPr>
      <w:r>
        <w:t xml:space="preserve">Data and Entity Resolution</w:t>
      </w:r>
    </w:p>
    <w:bookmarkStart w:id="49" w:name="subsec:data"/>
    <w:p>
      <w:pPr>
        <w:pStyle w:val="Heading2"/>
      </w:pPr>
      <w:r>
        <w:t xml:space="preserve">Data, entity universe, and stress states</w:t>
      </w:r>
    </w:p>
    <w:p>
      <w:pPr>
        <w:pStyle w:val="FirstParagraph"/>
      </w:pPr>
      <w:r>
        <w:t xml:space="preserve">The empirical analysis uses public on-chain and market data, obtained from</w:t>
      </w:r>
      <w:r>
        <w:t xml:space="preserve"> </w:t>
      </w:r>
      <w:r>
        <w:t xml:space="preserve">public or keyed APIs (Table </w:t>
      </w:r>
      <w:hyperlink w:anchor="tab:data">
        <w:r>
          <w:rPr>
            <w:rStyle w:val="Hyperlink"/>
          </w:rPr>
          <w:t xml:space="preserve">4</w:t>
        </w:r>
      </w:hyperlink>
      <w:r>
        <w:t xml:space="preserve">).</w:t>
      </w:r>
      <w:r>
        <w:t xml:space="preserve"> </w:t>
      </w:r>
      <w:r>
        <w:t xml:space="preserve">On-chain flows are queried with SQL over Dune Analytics’ decoded</w:t>
      </w:r>
      <w:r>
        <w:t xml:space="preserve"> </w:t>
      </w:r>
      <w:r>
        <w:rPr>
          <w:rStyle w:val="VerbatimChar"/>
        </w:rPr>
        <w:t xml:space="preserve">erc20_ethereum.evt_Transfer</w:t>
      </w:r>
      <w:r>
        <w:t xml:space="preserve"> </w:t>
      </w:r>
      <w:r>
        <w:t xml:space="preserve">table and its maintained</w:t>
      </w:r>
      <w:r>
        <w:t xml:space="preserve"> </w:t>
      </w:r>
      <w:r>
        <w:rPr>
          <w:rStyle w:val="VerbatimChar"/>
        </w:rPr>
        <w:t xml:space="preserve">labels.cex_ethereum</w:t>
      </w:r>
      <w:r>
        <w:t xml:space="preserve"> </w:t>
      </w:r>
      <w:r>
        <w:t xml:space="preserve">entity labels; prices and protocol</w:t>
      </w:r>
      <w:r>
        <w:t xml:space="preserve"> </w:t>
      </w:r>
      <w:r>
        <w:t xml:space="preserve">total-value-locked (TVL) series come from DefiLlama; entity labels and contract</w:t>
      </w:r>
      <w:r>
        <w:t xml:space="preserve"> </w:t>
      </w:r>
      <w:r>
        <w:t xml:space="preserve">metadata from Etherscan. No synthetic data are used. The cascade is directly</w:t>
      </w:r>
      <w:r>
        <w:t xml:space="preserve"> </w:t>
      </w:r>
      <w:r>
        <w:t xml:space="preserve">visible in the raw data: Figure </w:t>
      </w:r>
      <w:hyperlink w:anchor="fig:usd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on-chain transfer</w:t>
      </w:r>
      <w:r>
        <w:t xml:space="preserve"> </w:t>
      </w:r>
      <w:r>
        <w:t xml:space="preserve">volume of the synthetic dollar USDe rising from $0.75bn on 9 October to</w:t>
      </w:r>
      <w:r>
        <w:t xml:space="preserve"> </w:t>
      </w:r>
      <w:r>
        <w:t xml:space="preserve">$3.09bn on 10 October and $8.83bn on 11 October—an order-of-magnitude surge</w:t>
      </w:r>
      <w:r>
        <w:t xml:space="preserve"> </w:t>
      </w:r>
      <w:r>
        <w:t xml:space="preserve">that no price series resolves as sharply. The node set comprises centralised</w:t>
      </w:r>
      <w:r>
        <w:t xml:space="preserve"> </w:t>
      </w:r>
      <w:r>
        <w:t xml:space="preserve">exchanges (Binance, Coinbase, OKX, Bybit, Bitfinex, HTX, Gate.io, Crypto.com),</w:t>
      </w:r>
      <w:r>
        <w:t xml:space="preserve"> </w:t>
      </w:r>
      <w:r>
        <w:t xml:space="preserve">custodians (Copper, Ceffu, FalconX), DeFi protocols (Aave, Ethena, Lido,</w:t>
      </w:r>
      <w:r>
        <w:t xml:space="preserve"> </w:t>
      </w:r>
      <w:r>
        <w:t xml:space="preserve">Maker/Sky), and an aggregate retail node that collects all unresolved addresses,</w:t>
      </w:r>
      <w:r>
        <w:t xml:space="preserve"> </w:t>
      </w:r>
      <w:r>
        <w:t xml:space="preserve">included precisely so that systemic importance is not attributed to noise.</w:t>
      </w:r>
      <w:r>
        <w:t xml:space="preserve"> </w:t>
      </w:r>
      <w:r>
        <w:t xml:space="preserve">Stress states are operationalised by entity type as in Table </w:t>
      </w:r>
      <w:hyperlink w:anchor="tab:stres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and expressed as rolling</w:t>
      </w:r>
      <w:r>
        <w:t xml:space="preserve"> </w:t>
      </w:r>
      <m:oMath>
        <m:r>
          <m:t>z</m:t>
        </m:r>
      </m:oMath>
      <w:r>
        <w:t xml:space="preserve">-scores so that heterogeneous units are comparable</w:t>
      </w:r>
      <w:r>
        <w:t xml:space="preserve"> </w:t>
      </w:r>
      <w:r>
        <w:t xml:space="preserve">in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; for example, CEX stress combines the net on-chain outflow</w:t>
      </w:r>
      <w:r>
        <w:t xml:space="preserve"> </w:t>
      </w:r>
      <w:r>
        <w:t xml:space="preserve">ratio with a transfer-volume surge term, while stablecoin-issuer stress combines</w:t>
      </w:r>
      <w:r>
        <w:t xml:space="preserve"> </w:t>
      </w:r>
      <w:r>
        <w:t xml:space="preserve">the peg deviation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 net redemption outflow. The resulting hourly</w:t>
      </w:r>
      <w:r>
        <w:t xml:space="preserve"> </w:t>
      </w:r>
      <w:r>
        <w:t xml:space="preserve">trajectories (Figure </w:t>
      </w:r>
      <w:hyperlink w:anchor="fig:stress">
        <w:r>
          <w:rPr>
            <w:rStyle w:val="Hyperlink"/>
          </w:rPr>
          <w:t xml:space="preserve">2</w:t>
        </w:r>
      </w:hyperlink>
      <w:r>
        <w:t xml:space="preserve">) show exchange and retail stress spiking</w:t>
      </w:r>
      <w:r>
        <w:t xml:space="preserve"> </w:t>
      </w:r>
      <w:r>
        <w:t xml:space="preserve">sharply on 10–11 October, with the cross-entity timing differences the SCM is</w:t>
      </w:r>
      <w:r>
        <w:t xml:space="preserve"> </w:t>
      </w:r>
      <w:r>
        <w:t xml:space="preserve">designed to exploit.</w:t>
      </w:r>
    </w:p>
    <w:bookmarkStart w:id="40" w:name="tab:data"/>
    <w:p>
      <w:pPr>
        <w:pStyle w:val="TableCaption"/>
      </w:pPr>
      <w:r>
        <w:t xml:space="preserve">Data sources. All series are real; on-chain flows carry block-level timestamps.</w:t>
      </w:r>
    </w:p>
    <w:tbl>
      <w:tblPr>
        <w:tblStyle w:val="Table"/>
        <w:tblW w:type="pct" w:w="4550"/>
        <w:tblLook w:firstRow="1" w:lastRow="0" w:firstColumn="0" w:lastColumn="0" w:noHBand="0" w:noVBand="0" w:val="0020"/>
        <w:jc w:val="start"/>
        <w:tblCaption w:val="Data sources. All series are real; on-chain flows carry block-level timestamps."/>
      </w:tblPr>
      <w:tblGrid>
        <w:gridCol w:w="2138"/>
        <w:gridCol w:w="3168"/>
        <w:gridCol w:w="19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Granularity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Decoded transfers (ETH)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Dune</w:t>
            </w:r>
            <w:r>
              <w:t xml:space="preserve"> </w:t>
            </w:r>
            <w:r>
              <w:rPr>
                <w:rStyle w:val="VerbatimChar"/>
              </w:rPr>
              <w:t xml:space="preserve">erc20_ethereum.evt_Transfer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per-transfer (block)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CEX entity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Dune</w:t>
            </w:r>
            <w:r>
              <w:t xml:space="preserve"> </w:t>
            </w:r>
            <w:r>
              <w:rPr>
                <w:rStyle w:val="VerbatimChar"/>
              </w:rPr>
              <w:t xml:space="preserve">labels.cex_ethereum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Prices / returns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DefiLlama coins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 &amp;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TVL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Etherscan 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per-contract</w:t>
            </w:r>
          </w:p>
        </w:tc>
      </w:tr>
    </w:tbl>
    <w:bookmarkEnd w:id="40"/>
    <w:p>
      <w:pPr>
        <w:pStyle w:val="CaptionedFigure"/>
      </w:pPr>
      <w:r>
        <w:drawing>
          <wp:inline>
            <wp:extent cx="49276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_usde_spike.pdf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On-chain USDe transfer volume around the October 2025 cascade</w:t>
      </w:r>
      <w:r>
        <w:t xml:space="preserve"> </w:t>
      </w:r>
      <w:r>
        <w:t xml:space="preserve">(real decoded ERC-20 transfers via Dune).</w:t>
      </w:r>
    </w:p>
    <w:bookmarkStart w:id="44" w:name="tab:stress"/>
    <w:p>
      <w:pPr>
        <w:pStyle w:val="TableCaption"/>
      </w:pPr>
      <w:r>
        <w:t xml:space="preserve">Stress-state operationalisation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by entity type.</w:t>
      </w:r>
    </w:p>
    <w:tbl>
      <w:tblPr>
        <w:tblStyle w:val="Table"/>
        <w:tblW w:type="pct" w:w="4500"/>
        <w:tblLook w:firstRow="1" w:lastRow="0" w:firstColumn="0" w:lastColumn="0" w:noHBand="0" w:noVBand="0" w:val="0020"/>
        <w:jc w:val="start"/>
        <w:tblCaption w:val="Stress-state operationalisation S_{i,t} by entity type."/>
      </w:tblPr>
      <w:tblGrid>
        <w:gridCol w:w="2059"/>
        <w:gridCol w:w="50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Stress proxy (oriented so larger</w:t>
            </w:r>
            <w:r>
              <w:rPr>
                <w:bCs/>
                <w:b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more distressed)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CEX / custodian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on-chain outflow ratio + transfer-volume surge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Stablecoin 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peg deviation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+ net redemption outflow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Lending 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TVL drawdown + token-price drawdown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Liquid-staking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TVL drawdown + price drawdown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 (aggregate)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(ETH) drawdown</w:t>
            </w:r>
          </w:p>
        </w:tc>
      </w:tr>
    </w:tbl>
    <w:bookmarkEnd w:id="44"/>
    <w:p>
      <w:pPr>
        <w:pStyle w:val="CaptionedFigure"/>
      </w:pPr>
      <w:r>
        <w:drawing>
          <wp:inline>
            <wp:extent cx="5334000" cy="283986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_stres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Hourly entity stress states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around the cascade (shaded: the</w:t>
      </w:r>
      <w:r>
        <w:t xml:space="preserve"> </w:t>
      </w:r>
      <w:r>
        <w:t xml:space="preserve">10–11 October event window). Derived from real on-chain flows.</w:t>
      </w:r>
    </w:p>
    <w:p>
      <w:pPr>
        <w:pStyle w:val="BodyText"/>
      </w:pPr>
      <w:r>
        <w:t xml:space="preserve">The settlement network is dominated by exchange</w:t>
      </w:r>
      <m:oMath>
        <m:r>
          <m:rPr>
            <m:sty m:val="p"/>
          </m:rPr>
          <m:t>↔</m:t>
        </m:r>
      </m:oMath>
      <w:r>
        <w:t xml:space="preserve">retail volume:</w:t>
      </w:r>
      <w:r>
        <w:t xml:space="preserve"> </w:t>
      </w:r>
      <w:r>
        <w:t xml:space="preserve">Table </w:t>
      </w:r>
      <w:hyperlink w:anchor="tab:desc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the largest resolved bilateral flows, with Coinbase</w:t>
      </w:r>
      <w:r>
        <w:t xml:space="preserve"> </w:t>
      </w:r>
      <w:r>
        <w:t xml:space="preserve">and Binance each intermediating tens of billions of dollars, while direct</w:t>
      </w:r>
      <w:r>
        <w:t xml:space="preserve"> </w:t>
      </w:r>
      <w:r>
        <w:t xml:space="preserve">exchange-to-exchange transfers, though smaller, are recovered and become the</w:t>
      </w:r>
      <w:r>
        <w:t xml:space="preserve"> </w:t>
      </w:r>
      <w:r>
        <w:t xml:space="preserve">inter-entity edges the SCM propagates along. The broad symmetry of the largest</w:t>
      </w:r>
      <w:r>
        <w:t xml:space="preserve"> </w:t>
      </w:r>
      <w:r>
        <w:t xml:space="preserve">in/out pairs (Coinbase receives $43.5bn and sends $43.4bn) is itself</w:t>
      </w:r>
      <w:r>
        <w:t xml:space="preserve"> </w:t>
      </w:r>
      <w:r>
        <w:t xml:space="preserve">informative: it foreshadows the H2 finding that bilateral custodial flows are</w:t>
      </w:r>
      <w:r>
        <w:t xml:space="preserve"> </w:t>
      </w:r>
      <w:r>
        <w:t xml:space="preserve">largely symmetric accounting movements rather than directional causal channels.</w:t>
      </w:r>
      <w:r>
        <w:t xml:space="preserve"> </w:t>
      </w:r>
      <w:r>
        <w:t xml:space="preserve">Structural equations are fit on a pre-event estimation window and evaluated both</w:t>
      </w:r>
      <w:r>
        <w:t xml:space="preserve"> </w:t>
      </w:r>
      <w:r>
        <w:t xml:space="preserve">at daily resolution and, because the cascade unfolded over hours, at hourly</w:t>
      </w:r>
      <w:r>
        <w:t xml:space="preserve"> </w:t>
      </w:r>
      <w:r>
        <w:t xml:space="preserve">resolution (600 fitting hours and 48 event hours in the consolidated run)—the</w:t>
      </w:r>
      <w:r>
        <w:t xml:space="preserve"> </w:t>
      </w:r>
      <w:r>
        <w:t xml:space="preserve">timescale at which on-chain flows are observed but entity price feeds are coarse.</w:t>
      </w:r>
    </w:p>
    <w:bookmarkStart w:id="48" w:name="tab:desc"/>
    <w:p>
      <w:pPr>
        <w:pStyle w:val="TableCaption"/>
      </w:pPr>
      <w:r>
        <w:t xml:space="preserve">Largest resolved bilateral flows over the study window (USD bn).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Largest resolved bilateral flows over the study window (USD bn)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Volume ($bn)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Coinbase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Bitfinex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</w:tr>
    </w:tbl>
    <w:bookmarkEnd w:id="48"/>
    <w:bookmarkEnd w:id="49"/>
    <w:bookmarkStart w:id="51" w:name="subsec:resolution"/>
    <w:p>
      <w:pPr>
        <w:pStyle w:val="Heading2"/>
      </w:pPr>
      <w:r>
        <w:t xml:space="preserve">Entity resolution</w:t>
      </w:r>
    </w:p>
    <w:p>
      <w:pPr>
        <w:pStyle w:val="FirstParagraph"/>
      </w:pPr>
      <w:r>
        <w:t xml:space="preserve">Raw addresses are not economic agents, and resolution error directly corrupts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q:scm">
        <w:r>
          <w:rPr>
            <w:rStyle w:val="Hyperlink"/>
          </w:rPr>
          <w:t xml:space="preserve">[eq:scm]</w:t>
        </w:r>
      </w:hyperlink>
      <w:r>
        <w:t xml:space="preserve">: unlike in price-based methods, a clustering mistake</w:t>
      </w:r>
      <w:r>
        <w:t xml:space="preserve"> </w:t>
      </w:r>
      <w:r>
        <w:t xml:space="preserve">fabricates or severs a causal edge. We therefore implement a four-tier pipeline</w:t>
      </w:r>
      <w:r>
        <w:t xml:space="preserve"> </w:t>
      </w:r>
      <w:r>
        <w:t xml:space="preserve">that builds on the established forensics literature</w:t>
      </w:r>
      <w:r>
        <w:t xml:space="preserve"> </w:t>
      </w:r>
      <w:r>
        <w:t xml:space="preserve">(Meiklejohn et al. 2013; Weber et al. 2019)</w:t>
      </w:r>
      <w:r>
        <w:t xml:space="preserve">. Tier 0 applies the classical</w:t>
      </w:r>
      <w:r>
        <w:t xml:space="preserve"> </w:t>
      </w:r>
      <w:r>
        <w:t xml:space="preserve">deposit-sweep heuristic, flagging an address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deposit address of</w:t>
      </w:r>
      <w:r>
        <w:t xml:space="preserve"> </w:t>
      </w:r>
      <w:r>
        <w:t xml:space="preserve">exchange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a dominant share of its outflow is forwarded to a known hot</w:t>
      </w:r>
      <w:r>
        <w:t xml:space="preserve"> </w:t>
      </w:r>
      <w:r>
        <w:t xml:space="preserve">wallet of</w:t>
      </w:r>
      <w:r>
        <w:t xml:space="preserve"> </w:t>
      </w:r>
      <m:oMath>
        <m:r>
          <m:t>X</m:t>
        </m:r>
      </m:oMath>
      <w:r>
        <w:t xml:space="preserve">, i.e. 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F</m:t>
                </m:r>
              </m:e>
              <m:sub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t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out</m:t>
                </m:r>
              </m:e>
              <m:sub>
                <m:r>
                  <m:t>x</m:t>
                </m:r>
              </m:sub>
            </m:sSub>
          </m:e>
        </m:nary>
        <m:r>
          <m:rPr>
            <m:sty m:val="p"/>
          </m:rPr>
          <m:t>≥</m:t>
        </m:r>
        <m:r>
          <m:t>τ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0.8</m:t>
        </m:r>
      </m:oMath>
      <w:r>
        <w:t xml:space="preserve">. Tier 1 trains a gradient-boosted classifier on a per-address</w:t>
      </w:r>
      <w:r>
        <w:t xml:space="preserve"> </w:t>
      </w:r>
      <w:r>
        <w:t xml:space="preserve">feature vector comprising in/out volume and degree, counterparty diversity,</w:t>
      </w:r>
      <w:r>
        <w:t xml:space="preserve"> </w:t>
      </w:r>
      <w:r>
        <w:t xml:space="preserve">transaction count, and the sweep ratio, with held-out labels from Dune. Tier 2</w:t>
      </w:r>
      <w:r>
        <w:t xml:space="preserve"> </w:t>
      </w:r>
      <w:r>
        <w:t xml:space="preserve">forms the symmetric normalised adjacency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A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r>
        <w:t xml:space="preserve">address graph, computes a truncated singular-value-decomposition (SVD)</w:t>
      </w:r>
      <w:r>
        <w:t xml:space="preserve"> </w:t>
      </w:r>
      <w:r>
        <w:t xml:space="preserve">embedding, and clusters the resulting representations. Tier 3, the primary path, resolves both</w:t>
      </w:r>
      <w:r>
        <w:t xml:space="preserve"> </w:t>
      </w:r>
      <w:r>
        <w:t xml:space="preserve">endpoints of every transfer against curated seed labels and Dune’s</w:t>
      </w:r>
      <w:r>
        <w:t xml:space="preserve"> </w:t>
      </w:r>
      <w:r>
        <w:rPr>
          <w:rStyle w:val="VerbatimChar"/>
        </w:rPr>
        <w:t xml:space="preserve">labels.cex_ethereum</w:t>
      </w:r>
      <w:r>
        <w:t xml:space="preserve">, collapsing sub-wallet labels (</w:t>
      </w:r>
      <w:r>
        <w:t xml:space="preserve">“</w:t>
      </w:r>
      <w:r>
        <w:t xml:space="preserve">OKX 210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Bitfinex Tether Treasury</w:t>
      </w:r>
      <w:r>
        <w:t xml:space="preserve">”</w:t>
      </w:r>
      <w:r>
        <w:t xml:space="preserve">) to their exchange root—the</w:t>
      </w:r>
      <w:r>
        <w:t xml:space="preserve"> </w:t>
      </w:r>
      <w:r>
        <w:t xml:space="preserve">many-addresses-to-one-agent clustering step that turns the undifferentiated</w:t>
      </w:r>
      <w:r>
        <w:t xml:space="preserve"> </w:t>
      </w:r>
      <w:r>
        <w:t xml:space="preserve">retail blob into named exchanges and thereby yields genuine inter-entity</w:t>
      </w:r>
      <w:r>
        <w:t xml:space="preserve"> </w:t>
      </w:r>
      <w:r>
        <w:t xml:space="preserve">(CEX</w:t>
      </w:r>
      <m:oMath>
        <m:r>
          <m:rPr>
            <m:sty m:val="p"/>
          </m:rPr>
          <m:t>↔</m:t>
        </m:r>
      </m:oMath>
      <w:r>
        <w:t xml:space="preserve">CEX) edges. Each resolved address carries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propagated to an edge reliability</w:t>
      </w:r>
      <w:r>
        <w:t xml:space="preserve"> </w:t>
      </w:r>
      <m:oMath>
        <m:sSub>
          <m:e>
            <m:r>
              <m:t>c</m:t>
            </m:r>
          </m:e>
          <m:sub>
            <m:d>
              <m:dPr>
                <m:begChr m:val="("/>
                <m:endChr m:val=")"/>
                <m:sepChr m:val=""/>
                <m:grow/>
              </m:dPr>
              <m:e>
                <m:r>
                  <m:t>p</m:t>
                </m:r>
                <m:r>
                  <m:rPr>
                    <m:sty m:val="p"/>
                  </m:rPr>
                  <m:t>→</m:t>
                </m:r>
                <m:r>
                  <m:t>i</m:t>
                </m:r>
              </m:e>
            </m:d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retained as</w:t>
      </w:r>
      <w:r>
        <w:t xml:space="preserve"> </w:t>
      </w:r>
      <w:r>
        <w:t xml:space="preserve">an edge weight in</w:t>
      </w:r>
      <w:r>
        <w:t xml:space="preserve"> </w:t>
      </w:r>
      <m:oMath>
        <m:r>
          <m:t>G</m:t>
        </m:r>
      </m:oMath>
      <w:r>
        <w:t xml:space="preserve">. We drop the ERC-20 mint/burn sentinel address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0x0…0</m:t>
        </m:r>
      </m:oMath>
      <w:r>
        <w:t xml:space="preserve">) before any of this: it is not an economic agent, but</w:t>
      </w:r>
      <w:r>
        <w:t xml:space="preserve"> </w:t>
      </w:r>
      <w:r>
        <w:t xml:space="preserve">its single-counterparty, maximally asymmetric mint/burn volume would otherwise</w:t>
      </w:r>
      <w:r>
        <w:t xml:space="preserve"> </w:t>
      </w:r>
      <w:r>
        <w:t xml:space="preserve">dominate every volume-weighted statistic below. The supervised layer is</w:t>
      </w:r>
      <w:r>
        <w:t xml:space="preserve"> </w:t>
      </w:r>
      <w:r>
        <w:t xml:space="preserve">validated against held-out Dune labels—the Tier-3 reconciliation the design</w:t>
      </w:r>
      <w:r>
        <w:t xml:space="preserve"> </w:t>
      </w:r>
      <w:r>
        <w:t xml:space="preserve">requires: on</w:t>
      </w:r>
      <w:r>
        <w:t xml:space="preserve"> </w:t>
      </w:r>
      <m:oMath>
        <m:r>
          <m:t>7</m:t>
        </m:r>
        <m:r>
          <m:t> </m:t>
        </m:r>
        <m:r>
          <m:t>841</m:t>
        </m:r>
      </m:oMath>
      <w:r>
        <w:t xml:space="preserve"> </w:t>
      </w:r>
      <w:r>
        <w:t xml:space="preserve">event-window addresses (after the sentinel exclusion)</w:t>
      </w:r>
      <w:r>
        <w:t xml:space="preserve"> </w:t>
      </w:r>
      <w:r>
        <w:t xml:space="preserve">with a CEX base rate of</w:t>
      </w:r>
      <w:r>
        <w:t xml:space="preserve"> </w:t>
      </w:r>
      <m:oMath>
        <m:r>
          <m:t>0.5</m:t>
        </m:r>
        <m:r>
          <m:rPr>
            <m:sty m:val="p"/>
          </m:rPr>
          <m:t>%</m:t>
        </m:r>
      </m:oMath>
      <w:r>
        <w:t xml:space="preserve">, the Tier-1 classifier attains a held-out</w:t>
      </w:r>
      <w:r>
        <w:t xml:space="preserve"> </w:t>
      </w:r>
      <w:r>
        <w:t xml:space="preserve">area under the receiver-operating-characteristic curve (ROC-AUC) of</w:t>
      </w:r>
      <w:r>
        <w:t xml:space="preserve"> </w:t>
      </w:r>
      <m:oMath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average precision of</w:t>
      </w:r>
      <w:r>
        <w:t xml:space="preserve"> </w:t>
      </w:r>
      <m:oMath>
        <m:r>
          <m:t>0.24</m:t>
        </m:r>
      </m:oMath>
      <w:r>
        <w:t xml:space="preserve"> </w:t>
      </w:r>
      <w:r>
        <w:t xml:space="preserve">(Table </w:t>
      </w:r>
      <w:hyperlink w:anchor="tab:resval">
        <w:r>
          <w:rPr>
            <w:rStyle w:val="Hyperlink"/>
          </w:rPr>
          <w:t xml:space="preserve">7</w:t>
        </w:r>
      </w:hyperlink>
      <w:r>
        <w:t xml:space="preserve">),</w:t>
      </w:r>
      <w:r>
        <w:t xml:space="preserve"> </w:t>
      </w:r>
      <w:r>
        <w:t xml:space="preserve">with the in/out volume ratio and total volume as the top features, consistent</w:t>
      </w:r>
      <w:r>
        <w:t xml:space="preserve"> </w:t>
      </w:r>
      <w:r>
        <w:t xml:space="preserve">with the intuition that exchanges intermediate asymmetric, high-volume flows.</w:t>
      </w:r>
      <w:r>
        <w:t xml:space="preserve"> </w:t>
      </w:r>
      <w:r>
        <w:t xml:space="preserve">By address count the classifier recovers a third of CEX-labelled addresses at</w:t>
      </w:r>
      <w:r>
        <w:t xml:space="preserve"> </w:t>
      </w:r>
      <w:r>
        <w:t xml:space="preserve">its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-maximising threshold (precision</w:t>
      </w:r>
      <w:r>
        <w:t xml:space="preserve"> </w:t>
      </w:r>
      <m:oMath>
        <m:r>
          <m:t>0.27</m:t>
        </m:r>
      </m:oMath>
      <w:r>
        <w:t xml:space="preserve">, recall</w:t>
      </w:r>
      <w:r>
        <w:t xml:space="preserve"> </w:t>
      </w:r>
      <m:oMath>
        <m:r>
          <m:t>0.33</m:t>
        </m:r>
      </m:oMath>
      <w:r>
        <w:t xml:space="preserve">); weighting the</w:t>
      </w:r>
      <w:r>
        <w:t xml:space="preserve"> </w:t>
      </w:r>
      <w:r>
        <w:t xml:space="preserve">same confusion matrix by each address’s USD volume rather than by count tells</w:t>
      </w:r>
      <w:r>
        <w:t xml:space="preserve"> </w:t>
      </w:r>
      <w:r>
        <w:t xml:space="preserve">a less flattering story (Table </w:t>
      </w:r>
      <w:hyperlink w:anchor="tab:resval">
        <w:r>
          <w:rPr>
            <w:rStyle w:val="Hyperlink"/>
          </w:rPr>
          <w:t xml:space="preserve">7</w:t>
        </w:r>
      </w:hyperlink>
      <w:r>
        <w:t xml:space="preserve">): volume-weighted precision is</w:t>
      </w:r>
      <w:r>
        <w:t xml:space="preserve"> </w:t>
      </w:r>
      <m:oMath>
        <m:r>
          <m:t>0.21</m:t>
        </m:r>
      </m:oMath>
      <w:r>
        <w:t xml:space="preserve">, but volume-weighted recall is only</w:t>
      </w:r>
      <w:r>
        <w:t xml:space="preserve"> </w:t>
      </w:r>
      <m:oMath>
        <m:r>
          <m:t>0.001</m:t>
        </m:r>
      </m:oMath>
      <w:r>
        <w:t xml:space="preserve">, because the few addresses</w:t>
      </w:r>
      <w:r>
        <w:t xml:space="preserve"> </w:t>
      </w:r>
      <w:r>
        <w:t xml:space="preserve">the classifier misses at this threshold include the single largest CEX hot</w:t>
      </w:r>
      <w:r>
        <w:t xml:space="preserve"> </w:t>
      </w:r>
      <w:r>
        <w:t xml:space="preserve">wallet in the held-out set ($1.6 billion of the window’s flow,</w:t>
      </w:r>
      <w:r>
        <w:t xml:space="preserve"> </w:t>
      </w:r>
      <m:oMath>
        <m:r>
          <m:t>89</m:t>
        </m:r>
        <m:r>
          <m:rPr>
            <m:sty m:val="p"/>
          </m:rPr>
          <m:t>%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missed CEX volume). The address-count metrics therefore overstate how much</w:t>
      </w:r>
      <w:r>
        <w:t xml:space="preserve"> </w:t>
      </w:r>
      <w:r>
        <w:rPr>
          <w:iCs/>
          <w:i/>
        </w:rPr>
        <w:t xml:space="preserve">economically material</w:t>
      </w:r>
      <w:r>
        <w:t xml:space="preserve"> </w:t>
      </w:r>
      <w:r>
        <w:t xml:space="preserve">flow the Tier-1 classifier alone would resolve;</w:t>
      </w:r>
      <w:r>
        <w:t xml:space="preserve"> </w:t>
      </w:r>
      <w:r>
        <w:t xml:space="preserve">this is precisely why Tier 3—direct matching against Dune’s curated label</w:t>
      </w:r>
      <w:r>
        <w:t xml:space="preserve"> </w:t>
      </w:r>
      <w:r>
        <w:t xml:space="preserve">table rather than statistical classification—is the primary path the main</w:t>
      </w:r>
      <w:r>
        <w:t xml:space="preserve"> </w:t>
      </w:r>
      <w:r>
        <w:t xml:space="preserve">pipeline relies on, and Tier-1/2 are reported as a transparent robustness</w:t>
      </w:r>
      <w:r>
        <w:t xml:space="preserve"> </w:t>
      </w:r>
      <w:r>
        <w:t xml:space="preserve">extra rather than as the production resolver.</w:t>
      </w:r>
    </w:p>
    <w:bookmarkStart w:id="50" w:name="tab:resval"/>
    <w:p>
      <w:pPr>
        <w:pStyle w:val="TableCaption"/>
      </w:pPr>
      <w:r>
        <w:t xml:space="preserve">Entity-resolution validation (Tier-1/2 against held-out Dune labels;</w:t>
      </w:r>
      <w:r>
        <w:t xml:space="preserve"> </w:t>
      </w:r>
      <w:r>
        <w:t xml:space="preserve">mint/burn sentinel excluded).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Entity-resolution validation (Tier-1/2 against held-out Dune labels; mint/burn sentinel excluded)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Addresses (USDe event window)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t> </m:t>
              </m:r>
              <m:r>
                <m:t>841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CEX-labelled (base 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Tier-1 ROC-AUC (held out)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Tier-1 average precision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Tier-1 best-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precision / recall (by address count)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0.27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0.33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Tier-1 precision / recall at the same threshold (by USD volume)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0.21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0.001</m:t>
              </m:r>
            </m:oMath>
          </w:p>
        </w:tc>
      </w:tr>
    </w:tbl>
    <w:bookmarkEnd w:id="50"/>
    <w:bookmarkEnd w:id="51"/>
    <w:bookmarkEnd w:id="52"/>
    <w:bookmarkStart w:id="89" w:name="sec:results"/>
    <w:p>
      <w:pPr>
        <w:pStyle w:val="Heading1"/>
      </w:pPr>
      <w:r>
        <w:t xml:space="preserve">Empirical Evaluation</w:t>
      </w:r>
    </w:p>
    <w:p>
      <w:pPr>
        <w:pStyle w:val="FirstParagraph"/>
      </w:pPr>
      <w:r>
        <w:t xml:space="preserve">We report results at the cascade’s native hourly resolution unless noted, and</w:t>
      </w:r>
      <w:r>
        <w:t xml:space="preserve"> </w:t>
      </w:r>
      <w:r>
        <w:t xml:space="preserve">contrast with daily resolution where instructive. The consolidated hourly</w:t>
      </w:r>
      <w:r>
        <w:t xml:space="preserve"> </w:t>
      </w:r>
      <w:r>
        <w:t xml:space="preserve">configuration resolves</w:t>
      </w:r>
      <w:r>
        <w:t xml:space="preserve"> </w:t>
      </w:r>
      <m:oMath>
        <m:r>
          <m:t>17</m:t>
        </m:r>
      </m:oMath>
      <w:r>
        <w:t xml:space="preserve"> </w:t>
      </w:r>
      <w:r>
        <w:t xml:space="preserve">entities with</w:t>
      </w:r>
      <w:r>
        <w:t xml:space="preserve"> </w:t>
      </w:r>
      <m:oMath>
        <m:r>
          <m:t>39</m:t>
        </m:r>
      </m:oMath>
      <w:r>
        <w:t xml:space="preserve"> </w:t>
      </w:r>
      <w:r>
        <w:t xml:space="preserve">directed edges</w:t>
      </w:r>
      <w:r>
        <w:t xml:space="preserve"> </w:t>
      </w:r>
      <w:r>
        <w:t xml:space="preserve">(Figure </w:t>
      </w:r>
      <w:hyperlink w:anchor="fig:graph">
        <w:r>
          <w:rPr>
            <w:rStyle w:val="Hyperlink"/>
          </w:rPr>
          <w:t xml:space="preserve">3</w:t>
        </w:r>
      </w:hyperlink>
      <w:r>
        <w:t xml:space="preserve">); the retail node intermediates most activity while</w:t>
      </w:r>
      <w:r>
        <w:t xml:space="preserve"> </w:t>
      </w:r>
      <w:r>
        <w:t xml:space="preserve">inter-exchange settlement edges are recovered directly.</w:t>
      </w:r>
    </w:p>
    <w:p>
      <w:pPr>
        <w:pStyle w:val="CaptionedFigure"/>
      </w:pPr>
      <w:r>
        <w:drawing>
          <wp:inline>
            <wp:extent cx="5334000" cy="395864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_graph.pd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entity-resolved on-chain flow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recovered by the Tier-3</w:t>
      </w:r>
      <w:r>
        <w:t xml:space="preserve"> </w:t>
      </w:r>
      <w:r>
        <w:t xml:space="preserve">resolution layer. Edge width is proportional to cumulative USD flow.</w:t>
      </w:r>
    </w:p>
    <w:bookmarkStart w:id="60" w:name="subsec:h1"/>
    <w:p>
      <w:pPr>
        <w:pStyle w:val="Heading2"/>
      </w:pPr>
      <w:r>
        <w:t xml:space="preserve">Does the observed graph beat the estimated graph? (H1)</w:t>
      </w:r>
    </w:p>
    <w:p>
      <w:pPr>
        <w:pStyle w:val="FirstParagraph"/>
      </w:pPr>
      <w:r>
        <w:t xml:space="preserve">We distinguish three evaluation modes throughout this section, since</w:t>
      </w:r>
      <w:r>
        <w:t xml:space="preserve"> </w:t>
      </w:r>
      <w:r>
        <w:t xml:space="preserve">conflating them is a common source of overclaiming in this literature.</w:t>
      </w:r>
      <w:r>
        <w:t xml:space="preserve"> </w:t>
      </w:r>
      <w:r>
        <w:rPr>
          <w:iCs/>
          <w:i/>
        </w:rPr>
        <w:t xml:space="preserve">Contemporaneous-flow nowcasting</w:t>
      </w:r>
      <w:r>
        <w:t xml:space="preserve"> </w:t>
      </w:r>
      <w:r>
        <w:t xml:space="preserve">uses the within-period flow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→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to predict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 it is informative about</w:t>
      </w:r>
      <w:r>
        <w:t xml:space="preserve"> </w:t>
      </w:r>
      <w:r>
        <w:t xml:space="preserve">same-period structure but not a genuine forecast.</w:t>
      </w:r>
      <w:r>
        <w:t xml:space="preserve"> </w:t>
      </w:r>
      <w:r>
        <w:rPr>
          <w:iCs/>
          <w:i/>
        </w:rPr>
        <w:t xml:space="preserve">Lagged-flow</w:t>
      </w:r>
      <w:r>
        <w:rPr>
          <w:iCs/>
          <w:i/>
        </w:rPr>
        <w:t xml:space="preserve"> </w:t>
      </w:r>
      <w:r>
        <w:rPr>
          <w:iCs/>
          <w:i/>
        </w:rPr>
        <w:t xml:space="preserve">forecasting</w:t>
      </w:r>
      <w:r>
        <w:t xml:space="preserve"> </w:t>
      </w:r>
      <w:r>
        <w:t xml:space="preserve">restricts the flow feature to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→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so the</w:t>
      </w:r>
      <w:r>
        <w:t xml:space="preserve"> </w:t>
      </w:r>
      <w:r>
        <w:t xml:space="preserve">prediction 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uses nothing observed after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is a real one-step</w:t>
      </w:r>
      <w:r>
        <w:t xml:space="preserve"> </w:t>
      </w:r>
      <w:r>
        <w:t xml:space="preserve">forecast, at the cost of discarding same-period information a real-time</w:t>
      </w:r>
      <w:r>
        <w:t xml:space="preserve"> </w:t>
      </w:r>
      <w:r>
        <w:t xml:space="preserve">risk desk would have.</w:t>
      </w:r>
      <w:r>
        <w:t xml:space="preserve"> </w:t>
      </w:r>
      <w:r>
        <w:rPr>
          <w:iCs/>
          <w:i/>
        </w:rPr>
        <w:t xml:space="preserve">Retrospective counterfactual attribution</w:t>
      </w:r>
      <w:r>
        <w:t xml:space="preserve"> </w:t>
      </w:r>
      <w:r>
        <w:t xml:space="preserve">(Section </w:t>
      </w:r>
      <w:hyperlink w:anchor="subsec:h345">
        <w:r>
          <w:rPr>
            <w:rStyle w:val="Hyperlink"/>
          </w:rPr>
          <w:t xml:space="preserve">5.2</w:t>
        </w:r>
      </w:hyperlink>
      <w:r>
        <w:t xml:space="preserve">) is neither: it uses the entire observed event</w:t>
      </w:r>
      <w:r>
        <w:t xml:space="preserve"> </w:t>
      </w:r>
      <w:r>
        <w:t xml:space="preserve">path to abduct</w:t>
      </w:r>
      <w:r>
        <w:t xml:space="preserve"> </w:t>
      </w:r>
      <m:oMath>
        <m:acc>
          <m:accPr>
            <m:chr m:val="̂"/>
          </m:accPr>
          <m:e>
            <m:r>
              <m:t>U</m:t>
            </m:r>
          </m:e>
        </m:acc>
      </m:oMath>
      <w:r>
        <w:t xml:space="preserve"> </w:t>
      </w:r>
      <w:r>
        <w:t xml:space="preserve">and asks a structural</w:t>
      </w:r>
      <w:r>
        <w:t xml:space="preserve"> </w:t>
      </w:r>
      <w:r>
        <w:t xml:space="preserve">“</w:t>
      </w:r>
      <w:r>
        <w:t xml:space="preserve">what would</w:t>
      </w:r>
      <w:r>
        <w:t xml:space="preserve"> </w:t>
      </w:r>
      <m:oMath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have</w:t>
      </w:r>
      <w:r>
        <w:t xml:space="preserve"> </w:t>
      </w:r>
      <w:r>
        <w:t xml:space="preserve">been had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stayed pre-crisis</w:t>
      </w:r>
      <w:r>
        <w:t xml:space="preserve">”</w:t>
      </w:r>
      <w:r>
        <w:t xml:space="preserve"> </w:t>
      </w:r>
      <w:r>
        <w:t xml:space="preserve">question, which is well posed only after</w:t>
      </w:r>
      <w:r>
        <w:t xml:space="preserve"> </w:t>
      </w:r>
      <w:r>
        <w:t xml:space="preserve">the event and is not a prediction exercise at all. H1 below is evaluated in</w:t>
      </w:r>
      <w:r>
        <w:t xml:space="preserve"> </w:t>
      </w:r>
      <w:r>
        <w:t xml:space="preserve">both flow modes; the paper’s primary contribution, the attribution measure,</w:t>
      </w:r>
      <w:r>
        <w:t xml:space="preserve"> </w:t>
      </w:r>
      <w:r>
        <w:t xml:space="preserve">relies on neither.</w:t>
      </w:r>
    </w:p>
    <w:p>
      <w:pPr>
        <w:pStyle w:val="BodyText"/>
      </w:pPr>
      <w:r>
        <w:t xml:space="preserve">The head-to-head (Table </w:t>
      </w:r>
      <w:hyperlink w:anchor="tab:h1">
        <w:r>
          <w:rPr>
            <w:rStyle w:val="Hyperlink"/>
          </w:rPr>
          <w:t xml:space="preserve">8</w:t>
        </w:r>
      </w:hyperlink>
      <w:r>
        <w:t xml:space="preserve">, Figure </w:t>
      </w:r>
      <w:hyperlink w:anchor="fig:h1">
        <w:r>
          <w:rPr>
            <w:rStyle w:val="Hyperlink"/>
          </w:rPr>
          <w:t xml:space="preserve">4</w:t>
        </w:r>
      </w:hyperlink>
      <w:r>
        <w:t xml:space="preserve">) is the central test</w:t>
      </w:r>
      <w:r>
        <w:t xml:space="preserve"> </w:t>
      </w:r>
      <w:r>
        <w:t xml:space="preserve">against the estimated-graph state of the art. At</w:t>
      </w:r>
      <w:r>
        <w:t xml:space="preserve"> </w:t>
      </w:r>
      <w:r>
        <w:rPr>
          <w:iCs/>
          <w:i/>
        </w:rPr>
        <w:t xml:space="preserve">daily</w:t>
      </w:r>
      <w:r>
        <w:t xml:space="preserve"> </w:t>
      </w:r>
      <w:r>
        <w:t xml:space="preserve">resolution the</w:t>
      </w:r>
      <w:r>
        <w:t xml:space="preserve"> </w:t>
      </w:r>
      <w:r>
        <w:t xml:space="preserve">price-estimated Granger graph clearly predicts the cascade better than the</w:t>
      </w:r>
      <w:r>
        <w:t xml:space="preserve"> </w:t>
      </w:r>
      <w:r>
        <w:t xml:space="preserve">observed graph (RMSE</w:t>
      </w:r>
      <w:r>
        <w:t xml:space="preserve"> </w:t>
      </w:r>
      <m:oMath>
        <m:r>
          <m:t>1.35</m:t>
        </m:r>
      </m:oMath>
      <w:r>
        <w:t xml:space="preserve"> </w:t>
      </w:r>
      <w:r>
        <w:t xml:space="preserve">vs. </w:t>
      </w:r>
      <m:oMath>
        <m:r>
          <m:t>1.92</m:t>
        </m:r>
      </m:oMath>
      <w:r>
        <w:t xml:space="preserve">): with only a handful of daily</w:t>
      </w:r>
      <w:r>
        <w:t xml:space="preserve"> </w:t>
      </w:r>
      <w:r>
        <w:t xml:space="preserve">observations, the denser estimated graph wins. At</w:t>
      </w:r>
      <w:r>
        <w:t xml:space="preserve"> </w:t>
      </w:r>
      <w:r>
        <w:rPr>
          <w:iCs/>
          <w:i/>
        </w:rPr>
        <w:t xml:space="preserve">hourly</w:t>
      </w:r>
      <w:r>
        <w:t xml:space="preserve"> </w:t>
      </w:r>
      <w:r>
        <w:t xml:space="preserve">resolution the</w:t>
      </w:r>
      <w:r>
        <w:t xml:space="preserve"> </w:t>
      </w:r>
      <w:r>
        <w:t xml:space="preserve">ordering reverses—the observed on-chain graph attains the lowest RMSE</w:t>
      </w:r>
      <w:r>
        <w:t xml:space="preserve"> </w:t>
      </w:r>
      <w:r>
        <w:t xml:space="preserve">(</w:t>
      </w:r>
      <m:oMath>
        <m:r>
          <m:t>1.2529</m:t>
        </m:r>
      </m:oMath>
      <w:r>
        <w:t xml:space="preserve">) ahead of the Granger (</w:t>
      </w:r>
      <m:oMath>
        <m:r>
          <m:t>1.2568</m:t>
        </m:r>
      </m:oMath>
      <w:r>
        <w:t xml:space="preserve">) and partial-correlation (</w:t>
      </w:r>
      <m:oMath>
        <m:r>
          <m:t>1.2547</m:t>
        </m:r>
      </m:oMath>
      <w:r>
        <w:t xml:space="preserve">)</w:t>
      </w:r>
      <w:r>
        <w:t xml:space="preserve"> </w:t>
      </w:r>
      <w:r>
        <w:t xml:space="preserve">graphs—although the margin is razor-thin (</w:t>
      </w:r>
      <m:oMath>
        <m:r>
          <m:rPr>
            <m:sty m:val="p"/>
          </m:rPr>
          <m:t>≈</m:t>
        </m:r>
        <m:r>
          <m:t>0.1</m:t>
        </m:r>
        <m:r>
          <m:rPr>
            <m:sty m:val="p"/>
          </m:rPr>
          <m:t>%</m:t>
        </m:r>
      </m:oMath>
      <w:r>
        <w:t xml:space="preserve">). The honest reading</w:t>
      </w:r>
      <w:r>
        <w:t xml:space="preserve"> </w:t>
      </w:r>
      <w:r>
        <w:t xml:space="preserve">is that, measured at the timescale the data actually support, the observed graph</w:t>
      </w:r>
      <w:r>
        <w:t xml:space="preserve"> </w:t>
      </w:r>
      <w:r>
        <w:t xml:space="preserve">is competitive with and marginally better than the estimated-graph baseline,</w:t>
      </w:r>
      <w:r>
        <w:t xml:space="preserve"> </w:t>
      </w:r>
      <w:r>
        <w:t xml:space="preserve">reversing its daily disadvantage; it is not a decisive victory. The mechanism</w:t>
      </w:r>
      <w:r>
        <w:t xml:space="preserve"> </w:t>
      </w:r>
      <w:r>
        <w:t xml:space="preserve">behind the reversal is informative: on-chain flows resolve at block level,</w:t>
      </w:r>
      <w:r>
        <w:t xml:space="preserve"> </w:t>
      </w:r>
      <w:r>
        <w:t xml:space="preserve">whereas the price feeds that drive the estimated graph are effectively coarse,</w:t>
      </w:r>
      <w:r>
        <w:t xml:space="preserve"> </w:t>
      </w:r>
      <w:r>
        <w:t xml:space="preserve">so the observed graph’s advantage is one of</w:t>
      </w:r>
      <w:r>
        <w:t xml:space="preserve"> </w:t>
      </w:r>
      <w:r>
        <w:rPr>
          <w:iCs/>
          <w:i/>
        </w:rPr>
        <w:t xml:space="preserve">temporal resolution</w:t>
      </w:r>
      <w:r>
        <w:t xml:space="preserve">—</w:t>
      </w:r>
      <w:r>
        <w:t xml:space="preserve"> </w:t>
      </w:r>
      <w:r>
        <w:t xml:space="preserve">precisely what matters in a cascade that propagated in minutes.</w:t>
      </w:r>
    </w:p>
    <w:p>
      <w:pPr>
        <w:pStyle w:val="BodyText"/>
      </w:pPr>
      <w:r>
        <w:t xml:space="preserve">We quantify this margin rather than assert it (Table </w:t>
      </w:r>
      <w:hyperlink w:anchor="tab:h1ci">
        <w:r>
          <w:rPr>
            <w:rStyle w:val="Hyperlink"/>
          </w:rPr>
          <w:t xml:space="preserve">[tab:h1ci]</w:t>
        </w:r>
      </w:hyperlink>
      <w:r>
        <w:t xml:space="preserve">). A paired</w:t>
      </w:r>
      <w:r>
        <w:t xml:space="preserve"> </w:t>
      </w:r>
      <w:r>
        <w:t xml:space="preserve">block-bootstrap of the per-observation weighted errors (</w:t>
      </w:r>
      <m:oMath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resamples over</w:t>
      </w:r>
      <w:r>
        <w:t xml:space="preserve"> </w:t>
      </w:r>
      <w:r>
        <w:t xml:space="preserve">the</w:t>
      </w:r>
      <w:r>
        <w:t xml:space="preserve"> </w:t>
      </w:r>
      <m:oMath>
        <m:r>
          <m:t>288</m:t>
        </m:r>
      </m:oMath>
      <w:r>
        <w:t xml:space="preserve"> </w:t>
      </w:r>
      <w:r>
        <w:t xml:space="preserve">event-window predictions on the common node set) puts the</w:t>
      </w:r>
      <w:r>
        <w:t xml:space="preserve"> </w:t>
      </w:r>
      <w:r>
        <w:t xml:space="preserve">observed-minus-Granger advantage at a small positive mean with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(CI) of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0.012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+</m:t>
            </m:r>
            <m:r>
              <m:t>0.016</m:t>
            </m:r>
          </m:e>
        </m:d>
      </m:oMath>
      <w:r>
        <w:t xml:space="preserve"> </w:t>
      </w:r>
      <w:r>
        <w:t xml:space="preserve">that straddles zero; the observed graph is better in</w:t>
      </w:r>
      <w:r>
        <w:t xml:space="preserve"> </w:t>
      </w:r>
      <m:oMath>
        <m:r>
          <m:t>71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resamples. On the auxiliary metrics the observed graph is uniformly ahead but</w:t>
      </w:r>
      <w:r>
        <w:t xml:space="preserve"> </w:t>
      </w:r>
      <w:r>
        <w:t xml:space="preserve">again only slightly—directional accuracy</w:t>
      </w:r>
      <w:r>
        <w:t xml:space="preserve"> </w:t>
      </w:r>
      <m:oMath>
        <m:r>
          <m:t>0.771</m:t>
        </m:r>
      </m:oMath>
      <w:r>
        <w:t xml:space="preserve"> </w:t>
      </w:r>
      <w:r>
        <w:t xml:space="preserve">vs. </w:t>
      </w:r>
      <m:oMath>
        <m:r>
          <m:t>0.767</m:t>
        </m:r>
      </m:oMath>
      <w:r>
        <w:t xml:space="preserve">, mean absolute</w:t>
      </w:r>
      <w:r>
        <w:t xml:space="preserve"> </w:t>
      </w:r>
      <w:r>
        <w:t xml:space="preserve">error</w:t>
      </w:r>
      <w:r>
        <w:t xml:space="preserve"> </w:t>
      </w:r>
      <m:oMath>
        <m:r>
          <m:t>0.245</m:t>
        </m:r>
      </m:oMath>
      <w:r>
        <w:t xml:space="preserve"> </w:t>
      </w:r>
      <w:r>
        <w:t xml:space="preserve">vs. </w:t>
      </w:r>
      <m:oMath>
        <m:r>
          <m:t>0.248</m:t>
        </m:r>
      </m:oMath>
      <w:r>
        <w:t xml:space="preserve">. The honest summary is therefore that the observed</w:t>
      </w:r>
      <w:r>
        <w:t xml:space="preserve"> </w:t>
      </w:r>
      <w:r>
        <w:t xml:space="preserve">graph is</w:t>
      </w:r>
      <w:r>
        <w:t xml:space="preserve"> </w:t>
      </w:r>
      <w:r>
        <w:rPr>
          <w:iCs/>
          <w:i/>
        </w:rPr>
        <w:t xml:space="preserve">competitive with, and weakly favoured over</w:t>
      </w:r>
      <w:r>
        <w:t xml:space="preserve">, the estimated-graph</w:t>
      </w:r>
      <w:r>
        <w:t xml:space="preserve"> </w:t>
      </w:r>
      <w:r>
        <w:t xml:space="preserve">baseline, not significantly superior on this single event. Crucially, the result</w:t>
      </w:r>
      <w:r>
        <w:t xml:space="preserve"> </w:t>
      </w:r>
      <w:r>
        <w:t xml:space="preserve">is not an artefact of using contemporaneous flows: refitting with strictly</w:t>
      </w:r>
      <w:r>
        <w:t xml:space="preserve"> </w:t>
      </w:r>
      <w:r>
        <w:rPr>
          <w:iCs/>
          <w:i/>
        </w:rPr>
        <w:t xml:space="preserve">lagged</w:t>
      </w:r>
      <w:r>
        <w:t xml:space="preserve"> </w:t>
      </w:r>
      <w:r>
        <w:t xml:space="preserve">flows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→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a genuine one-step-ahead forecast that</w:t>
      </w:r>
      <w:r>
        <w:t xml:space="preserve"> </w:t>
      </w:r>
      <w:r>
        <w:t xml:space="preserve">cannot see within-period flow, leaves the comparison essentially unchanged</w:t>
      </w:r>
      <w:r>
        <w:t xml:space="preserve"> </w:t>
      </w:r>
      <w:r>
        <w:t xml:space="preserve">(observed weighted RMSE</w:t>
      </w:r>
      <w:r>
        <w:t xml:space="preserve"> </w:t>
      </w:r>
      <m:oMath>
        <m:r>
          <m:t>1.258</m:t>
        </m:r>
      </m:oMath>
      <w:r>
        <w:t xml:space="preserve">, Granger</w:t>
      </w:r>
      <w:r>
        <w:t xml:space="preserve"> </w:t>
      </w:r>
      <m:oMath>
        <m:r>
          <m:t>1.247</m:t>
        </m:r>
      </m:oMath>
      <w:r>
        <w:t xml:space="preserve">, directional accuracy</w:t>
      </w:r>
      <w:r>
        <w:t xml:space="preserve"> </w:t>
      </w:r>
      <m:oMath>
        <m:r>
          <m:t>0.767</m:t>
        </m:r>
      </m:oMath>
      <w:r>
        <w:t xml:space="preserve">),</w:t>
      </w:r>
      <w:r>
        <w:t xml:space="preserve"> </w:t>
      </w:r>
      <w:r>
        <w:t xml:space="preserve">ruling out flow-to-stress leakage as the driver. Throughout, the graph used for</w:t>
      </w:r>
      <w:r>
        <w:t xml:space="preserve"> </w:t>
      </w:r>
      <w:r>
        <w:t xml:space="preserve">H1 is built from pre-event flows only, so event-window edges cannot leak into the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We stress-test the comparison one step further by re-defining stress without any</w:t>
      </w:r>
      <w:r>
        <w:t xml:space="preserve"> </w:t>
      </w:r>
      <w:r>
        <w:t xml:space="preserve">flow component—price/peg/TVL drawdowns only, so flows enter purely as</w:t>
      </w:r>
      <w:r>
        <w:t xml:space="preserve"> </w:t>
      </w:r>
      <w:r>
        <w:t xml:space="preserve">predictors and any circularity is eliminated. On this leakage-free target the</w:t>
      </w:r>
      <w:r>
        <w:t xml:space="preserve"> </w:t>
      </w:r>
      <w:r>
        <w:t xml:space="preserve">price-estimated Granger graph predicts better than the observed graph (weighted</w:t>
      </w:r>
      <w:r>
        <w:t xml:space="preserve"> </w:t>
      </w:r>
      <w:r>
        <w:t xml:space="preserve">RMSE</w:t>
      </w:r>
      <w:r>
        <w:t xml:space="preserve"> </w:t>
      </w:r>
      <m:oMath>
        <m:r>
          <m:t>1.36</m:t>
        </m:r>
      </m:oMath>
      <w:r>
        <w:t xml:space="preserve"> </w:t>
      </w:r>
      <w:r>
        <w:t xml:space="preserve">vs. </w:t>
      </w:r>
      <m:oMath>
        <m:r>
          <m:t>1.68</m:t>
        </m:r>
      </m:oMath>
      <w:r>
        <w:t xml:space="preserve">), which is unsurprising since a price-derived graph is</w:t>
      </w:r>
      <w:r>
        <w:t xml:space="preserve"> </w:t>
      </w:r>
      <w:r>
        <w:t xml:space="preserve">naturally matched to a price-derived target. Taken together, the evidence is</w:t>
      </w:r>
      <w:r>
        <w:t xml:space="preserve"> </w:t>
      </w:r>
      <w:r>
        <w:t xml:space="preserve">candid: the observed graph’s predictive edge is real but</w:t>
      </w:r>
      <w:r>
        <w:t xml:space="preserve"> </w:t>
      </w:r>
      <w:r>
        <w:rPr>
          <w:iCs/>
          <w:i/>
        </w:rPr>
        <w:t xml:space="preserve">specific to the</w:t>
      </w:r>
      <w:r>
        <w:rPr>
          <w:iCs/>
          <w:i/>
        </w:rPr>
        <w:t xml:space="preserve"> </w:t>
      </w:r>
      <w:r>
        <w:rPr>
          <w:iCs/>
          <w:i/>
        </w:rPr>
        <w:t xml:space="preserve">on-chain-native, contemporaneous-flow specification and not decisive</w:t>
      </w:r>
      <w:r>
        <w:t xml:space="preserve">. We</w:t>
      </w:r>
      <w:r>
        <w:t xml:space="preserve"> </w:t>
      </w:r>
      <w:r>
        <w:t xml:space="preserve">therefore treat H1 as</w:t>
      </w:r>
      <w:r>
        <w:t xml:space="preserve"> </w:t>
      </w:r>
      <w:r>
        <w:rPr>
          <w:iCs/>
          <w:i/>
        </w:rPr>
        <w:t xml:space="preserve">suggestive</w:t>
      </w:r>
      <w:r>
        <w:t xml:space="preserve"> </w:t>
      </w:r>
      <w:r>
        <w:t xml:space="preserve">and position predictive comparison as a</w:t>
      </w:r>
      <w:r>
        <w:t xml:space="preserve"> </w:t>
      </w:r>
      <w:r>
        <w:t xml:space="preserve">secondary, graph-source ablation; the framework’s primary contributions—the</w:t>
      </w:r>
      <w:r>
        <w:t xml:space="preserve"> </w:t>
      </w:r>
      <w:r>
        <w:t xml:space="preserve">counterfactual attribution of Section </w:t>
      </w:r>
      <w:hyperlink w:anchor="subsec:h345">
        <w:r>
          <w:rPr>
            <w:rStyle w:val="Hyperlink"/>
          </w:rPr>
          <w:t xml:space="preserve">5.2</w:t>
        </w:r>
      </w:hyperlink>
      <w:r>
        <w:t xml:space="preserve"> </w:t>
      </w:r>
      <w:r>
        <w:t xml:space="preserve">and the directional</w:t>
      </w:r>
      <w:r>
        <w:t xml:space="preserve"> </w:t>
      </w:r>
      <w:r>
        <w:t xml:space="preserve">findings of Section </w:t>
      </w:r>
      <w:hyperlink w:anchor="subsec:h2valid">
        <w:r>
          <w:rPr>
            <w:rStyle w:val="Hyperlink"/>
          </w:rPr>
          <w:t xml:space="preserve">5.3</w:t>
        </w:r>
      </w:hyperlink>
      <w:r>
        <w:t xml:space="preserve">—do not rest on it. Importantly, the</w:t>
      </w:r>
      <w:r>
        <w:t xml:space="preserve"> </w:t>
      </w:r>
      <w:r>
        <w:rPr>
          <w:iCs/>
          <w:i/>
        </w:rPr>
        <w:t xml:space="preserve">directional</w:t>
      </w:r>
      <w:r>
        <w:t xml:space="preserve"> </w:t>
      </w:r>
      <w:r>
        <w:t xml:space="preserve">signal does survive the leakage-free target: as reported</w:t>
      </w:r>
      <w:r>
        <w:t xml:space="preserve"> </w:t>
      </w:r>
      <w:r>
        <w:t xml:space="preserve">below, reversing edges degrades one-step prediction by about</w:t>
      </w:r>
      <w:r>
        <w:t xml:space="preserve"> </w:t>
      </w:r>
      <m:oMath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on the</w:t>
      </w:r>
      <w:r>
        <w:t xml:space="preserve"> </w:t>
      </w:r>
      <w:r>
        <w:t xml:space="preserve">non-flow stress, so flow direction carries information that is not an artefact of</w:t>
      </w:r>
      <w:r>
        <w:t xml:space="preserve"> </w:t>
      </w:r>
      <w:r>
        <w:t xml:space="preserve">flow-defined stress.</w:t>
      </w:r>
    </w:p>
    <w:bookmarkStart w:id="56" w:name="tab:h1"/>
    <w:p>
      <w:pPr>
        <w:pStyle w:val="TableCaption"/>
      </w:pPr>
      <w:r>
        <w:t xml:space="preserve">H1 head-to-head: event-window prediction error (RMSE; lower is better)</w:t>
      </w:r>
      <w:r>
        <w:t xml:space="preserve"> </w:t>
      </w:r>
      <w:r>
        <w:t xml:space="preserve">under identical VEIN machinery, varying only the graph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H1 head-to-head: event-window prediction error (RMSE; lower is better) under identical VEIN machinery, varying only the graph sourc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Daily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Hourly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rPr>
                <w:bCs/>
                <w:b/>
              </w:rPr>
              <w:t xml:space="preserve">Graph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on-chain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1.2529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 (Granger)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 (partial-corr)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0.285</w:t>
            </w:r>
          </w:p>
        </w:tc>
      </w:tr>
    </w:tbl>
    <w:bookmarkEnd w:id="56"/>
    <w:p>
      <w:pPr>
        <w:pStyle w:val="CaptionedFigure"/>
      </w:pPr>
      <w:r>
        <w:drawing>
          <wp:inline>
            <wp:extent cx="5118100" cy="2921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_h1.pdf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8100" cy="292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 prediction error by graph source. The observed on-chain graph loses</w:t>
      </w:r>
      <w:r>
        <w:t xml:space="preserve"> </w:t>
      </w:r>
      <w:r>
        <w:t xml:space="preserve">at daily resolution but edges ahead at hourly resolution.</w:t>
      </w:r>
    </w:p>
    <w:p>
      <w:pPr>
        <w:pStyle w:val="BodyText"/>
      </w:pPr>
      <w:r>
        <w:t xml:space="preserve">@lccccc@</w:t>
      </w:r>
      <w:r>
        <w:t xml:space="preserve"> </w:t>
      </w:r>
      <w:r>
        <w:rPr>
          <w:bCs/>
          <w:b/>
        </w:rPr>
        <w:t xml:space="preserve">Graph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wRMSE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RMSE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MAE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dir. acc.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lagged-flow wRMSE</w:t>
      </w:r>
      <w:r>
        <w:br/>
      </w:r>
      <w:r>
        <w:t xml:space="preserve">Observed on-chain &amp; 1.2529 &amp; 0.5187 &amp; 0.2453 &amp; 0.771 &amp; 1.258</w:t>
      </w:r>
      <w:r>
        <w:br/>
      </w:r>
      <w:r>
        <w:t xml:space="preserve">Estimated (Granger) &amp; 1.2568 &amp; 0.5236 &amp; 0.2482 &amp; 0.767 &amp; 1.247</w:t>
      </w:r>
      <w:r>
        <w:br/>
      </w:r>
      <w:r>
        <w:br/>
      </w:r>
    </w:p>
    <w:bookmarkEnd w:id="60"/>
    <w:bookmarkStart w:id="75" w:name="subsec:h345"/>
    <w:p>
      <w:pPr>
        <w:pStyle w:val="Heading2"/>
      </w:pPr>
      <w:r>
        <w:t xml:space="preserve">Systemic-importance ranking and counterfactual attribution (H3–H5)</w:t>
      </w:r>
    </w:p>
    <w:p>
      <w:pPr>
        <w:pStyle w:val="FirstParagraph"/>
      </w:pPr>
      <w:r>
        <w:t xml:space="preserve">The OC-CoVaR exported-risk ranking (Table </w:t>
      </w:r>
      <w:hyperlink w:anchor="tab:rank">
        <w:r>
          <w:rPr>
            <w:rStyle w:val="Hyperlink"/>
          </w:rPr>
          <w:t xml:space="preserve">9</w:t>
        </w:r>
      </w:hyperlink>
      <w:r>
        <w:t xml:space="preserve">, Figure </w:t>
      </w:r>
      <w:hyperlink w:anchor="fig:ocrank">
        <w:r>
          <w:rPr>
            <w:rStyle w:val="Hyperlink"/>
          </w:rPr>
          <w:t xml:space="preserve">5</w:t>
        </w:r>
      </w:hyperlink>
      <w:r>
        <w:t xml:space="preserve">)</w:t>
      </w:r>
      <w:r>
        <w:t xml:space="preserve"> </w:t>
      </w:r>
      <w:r>
        <w:t xml:space="preserve">is led by the exchanges that intermediate the largest real flows—Binance,</w:t>
      </w:r>
      <w:r>
        <w:t xml:space="preserve"> </w:t>
      </w:r>
      <w:r>
        <w:t xml:space="preserve">Coinbase, Bitfinex—whereas</w:t>
      </w:r>
      <w:r>
        <w:t xml:space="preserve"> </w:t>
      </w:r>
      <m:oMath>
        <m:r>
          <m:t>Δ</m:t>
        </m:r>
      </m:oMath>
      <w:r>
        <w:t xml:space="preserve">CoVaR and MES rank by price co-movement and</w:t>
      </w:r>
      <w:r>
        <w:t xml:space="preserve"> </w:t>
      </w:r>
      <w:r>
        <w:t xml:space="preserve">place market betas (ETH, stETH, BTC) first. The Spearman rank correlation between</w:t>
      </w:r>
      <w:r>
        <w:t xml:space="preserve"> </w:t>
      </w:r>
      <w:r>
        <w:t xml:space="preserve">OC-CoVaR and</w:t>
      </w:r>
      <w:r>
        <w:t xml:space="preserve"> </w:t>
      </w:r>
      <m:oMath>
        <m:r>
          <m:t>Δ</m:t>
        </m:r>
      </m:oMath>
      <w:r>
        <w:t xml:space="preserve">CoVaR over the mappable entities is only</w:t>
      </w:r>
      <w:r>
        <w:t xml:space="preserve"> </w:t>
      </w:r>
      <m:oMath>
        <m:r>
          <m:t>0.52</m:t>
        </m:r>
      </m:oMath>
      <w:r>
        <w:t xml:space="preserve">, supporting</w:t>
      </w:r>
      <w:r>
        <w:t xml:space="preserve"> </w:t>
      </w:r>
      <w:r>
        <w:t xml:space="preserve">H3: the on-chain causal ranking is not a relabelling of the price-correlation</w:t>
      </w:r>
      <w:r>
        <w:t xml:space="preserve"> </w:t>
      </w:r>
      <w:r>
        <w:t xml:space="preserve">ranking, but answers a different question—who transmits stress through the</w:t>
      </w:r>
      <w:r>
        <w:t xml:space="preserve"> </w:t>
      </w:r>
      <w:r>
        <w:t xml:space="preserve">settlement network, rather than who co-moves in price. The counterfactual</w:t>
      </w:r>
      <w:r>
        <w:t xml:space="preserve"> </w:t>
      </w:r>
      <w:r>
        <w:t xml:space="preserve">measure then decomposes realised event-window distress into</w:t>
      </w:r>
      <w:r>
        <w:t xml:space="preserve"> </w:t>
      </w:r>
      <w:r>
        <w:t xml:space="preserve">upstream-attributable shares (Table </w:t>
      </w:r>
      <w:hyperlink w:anchor="tab:cf">
        <w:r>
          <w:rPr>
            <w:rStyle w:val="Hyperlink"/>
          </w:rPr>
          <w:t xml:space="preserve">10</w:t>
        </w:r>
      </w:hyperlink>
      <w:r>
        <w:t xml:space="preserve">, Figure </w:t>
      </w:r>
      <w:hyperlink w:anchor="fig:attr">
        <w:r>
          <w:rPr>
            <w:rStyle w:val="Hyperlink"/>
          </w:rPr>
          <w:t xml:space="preserve">6</w:t>
        </w:r>
      </w:hyperlink>
      <w:r>
        <w:t xml:space="preserve">). At</w:t>
      </w:r>
      <w:r>
        <w:t xml:space="preserve"> </w:t>
      </w:r>
      <w:r>
        <w:t xml:space="preserve">hourly resolution the dominant recovered channel is Binance</w:t>
      </w:r>
      <m:oMath>
        <m:r>
          <m:t> </m:t>
        </m:r>
        <m:r>
          <m:rPr>
            <m:sty m:val="p"/>
          </m:rPr>
          <m:t>→</m:t>
        </m:r>
        <m:r>
          <m:t> </m:t>
        </m:r>
      </m:oMath>
      <w:r>
        <w:t xml:space="preserve">Bybit, a</w:t>
      </w:r>
      <w:r>
        <w:t xml:space="preserve"> </w:t>
      </w:r>
      <m:oMath>
        <m:r>
          <m:t>98.1</m:t>
        </m:r>
        <m:r>
          <m:rPr>
            <m:sty m:val="p"/>
          </m:rPr>
          <m:t>%</m:t>
        </m:r>
      </m:oMath>
      <w:r>
        <w:t xml:space="preserve"> </w:t>
      </w:r>
      <w:r>
        <w:t xml:space="preserve">share of Bybit’s window distress, followed by Binance</w:t>
      </w:r>
      <m:oMath>
        <m:r>
          <m:t> </m:t>
        </m:r>
        <m:r>
          <m:rPr>
            <m:sty m:val="p"/>
          </m:rPr>
          <m:t>→</m:t>
        </m:r>
        <m:r>
          <m:t> </m:t>
        </m:r>
      </m:oMath>
      <w:r>
        <w:t xml:space="preserve">Gate.io</w:t>
      </w:r>
      <w:r>
        <w:t xml:space="preserve"> </w:t>
      </w:r>
      <w:r>
        <w:t xml:space="preserve">(</w:t>
      </w:r>
      <m:oMath>
        <m:r>
          <m:t>58.4</m:t>
        </m:r>
        <m:r>
          <m:rPr>
            <m:sty m:val="p"/>
          </m:rPr>
          <m:t>%</m:t>
        </m:r>
      </m:oMath>
      <w:r>
        <w:t xml:space="preserve">) and Binance</w:t>
      </w:r>
      <m:oMath>
        <m:r>
          <m:t> </m:t>
        </m:r>
        <m:r>
          <m:rPr>
            <m:sty m:val="p"/>
          </m:rPr>
          <m:t>→</m:t>
        </m:r>
        <m:r>
          <m:t> </m:t>
        </m:r>
      </m:oMath>
      <w:r>
        <w:t xml:space="preserve">Bitfinex (</w:t>
      </w:r>
      <m:oMath>
        <m:r>
          <m:t>45.3</m:t>
        </m:r>
        <m:r>
          <m:rPr>
            <m:sty m:val="p"/>
          </m:rPr>
          <m:t>%</m:t>
        </m:r>
      </m:oMath>
      <w:r>
        <w:t xml:space="preserve">)—inter-exchange settlement</w:t>
      </w:r>
      <w:r>
        <w:t xml:space="preserve"> </w:t>
      </w:r>
      <w:r>
        <w:t xml:space="preserve">channels invisible to price-only measures. At daily resolution, where the DeFi</w:t>
      </w:r>
      <w:r>
        <w:t xml:space="preserve"> </w:t>
      </w:r>
      <w:r>
        <w:t xml:space="preserve">composability edges dominate, the leading channel is Ethena</w:t>
      </w:r>
      <m:oMath>
        <m:r>
          <m:t> </m:t>
        </m:r>
        <m:r>
          <m:rPr>
            <m:sty m:val="p"/>
          </m:rPr>
          <m:t>→</m:t>
        </m:r>
        <m:r>
          <m:t> </m:t>
        </m:r>
      </m:oMath>
      <w:r>
        <w:t xml:space="preserve">Aave</w:t>
      </w:r>
      <w:r>
        <w:t xml:space="preserve"> </w:t>
      </w:r>
      <w:r>
        <w:t xml:space="preserve">(</w:t>
      </w:r>
      <m:oMath>
        <m:r>
          <m:t>11.3</m:t>
        </m:r>
        <m:r>
          <m:rPr>
            <m:sty m:val="p"/>
          </m:rPr>
          <m:t>%</m:t>
        </m:r>
      </m:oMath>
      <w:r>
        <w:t xml:space="preserve">), consistent with the documented role of USDe as cross-protocol</w:t>
      </w:r>
      <w:r>
        <w:t xml:space="preserve"> </w:t>
      </w:r>
      <w:r>
        <w:t xml:space="preserve">collateral and supporting H5. These are concrete, mechanism-grounded</w:t>
      </w:r>
      <w:r>
        <w:t xml:space="preserve"> </w:t>
      </w:r>
      <w:r>
        <w:t xml:space="preserve">attributions of a kind no associational measure can produce, and they answer the</w:t>
      </w:r>
      <w:r>
        <w:t xml:space="preserve"> </w:t>
      </w:r>
      <w:r>
        <w:t xml:space="preserve">supervisory question directly: had this entity not become distressed, how much</w:t>
      </w:r>
      <w:r>
        <w:t xml:space="preserve"> </w:t>
      </w:r>
      <w:r>
        <w:t xml:space="preserve">of the downstream loss would not have occurred?</w:t>
      </w:r>
    </w:p>
    <w:p>
      <w:pPr>
        <w:pStyle w:val="BodyText"/>
      </w:pPr>
      <w:r>
        <w:t xml:space="preserve">Because single-entity removal can over- or under-count when several upstream</w:t>
      </w:r>
      <w:r>
        <w:t xml:space="preserve"> </w:t>
      </w:r>
      <w:r>
        <w:t xml:space="preserve">entities jointly drive a loss, we also compute an order-robust Shapley</w:t>
      </w:r>
      <w:r>
        <w:t xml:space="preserve"> </w:t>
      </w:r>
      <w:r>
        <w:t xml:space="preserve">decomposition of Bybit’s event-window distress over its candidate sources</w:t>
      </w:r>
      <w:r>
        <w:t xml:space="preserve"> </w:t>
      </w:r>
      <w:r>
        <w:t xml:space="preserve">(Figure </w:t>
      </w:r>
      <w:hyperlink w:anchor="fig:shapley">
        <w:r>
          <w:rPr>
            <w:rStyle w:val="Hyperlink"/>
          </w:rPr>
          <w:t xml:space="preserve">7</w:t>
        </w:r>
      </w:hyperlink>
      <w:r>
        <w:t xml:space="preserve">). The Shapley values—Binance</w:t>
      </w:r>
      <w:r>
        <w:t xml:space="preserve"> </w:t>
      </w:r>
      <m:oMath>
        <m:r>
          <m:t>3.41</m:t>
        </m:r>
      </m:oMath>
      <w:r>
        <w:t xml:space="preserve">, Coinbase</w:t>
      </w:r>
      <w:r>
        <w:t xml:space="preserve"> </w:t>
      </w:r>
      <m:oMath>
        <m:r>
          <m:t>0.00</m:t>
        </m:r>
      </m:oMath>
      <w:r>
        <w:t xml:space="preserve">,</w:t>
      </w:r>
      <w:r>
        <w:t xml:space="preserve"> </w:t>
      </w:r>
      <w:r>
        <w:t xml:space="preserve">Bitfinex</w:t>
      </w:r>
      <w:r>
        <w:t xml:space="preserve"> </w:t>
      </w:r>
      <m:oMath>
        <m:r>
          <m:rPr>
            <m:sty m:val="p"/>
          </m:rPr>
          <m:t>−</m:t>
        </m:r>
        <m:r>
          <m:t>0.14</m:t>
        </m:r>
      </m:oMath>
      <w:r>
        <w:t xml:space="preserve">—sum to the total removal effect</w:t>
      </w:r>
      <w:r>
        <w:t xml:space="preserve"> </w:t>
      </w:r>
      <m:oMath>
        <m:r>
          <m:t>3.28</m:t>
        </m:r>
      </m:oMath>
      <w:r>
        <w:t xml:space="preserve"> </w:t>
      </w:r>
      <w:r>
        <w:t xml:space="preserve">to within numerical</w:t>
      </w:r>
      <w:r>
        <w:t xml:space="preserve"> </w:t>
      </w:r>
      <w:r>
        <w:t xml:space="preserve">error (additive residual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), so the attribution is an exact,</w:t>
      </w:r>
      <w:r>
        <w:t xml:space="preserve"> </w:t>
      </w:r>
      <w:r>
        <w:t xml:space="preserve">order-invariant decomposition rather than a set of overlapping single-removal</w:t>
      </w:r>
      <w:r>
        <w:t xml:space="preserve"> </w:t>
      </w:r>
      <w:r>
        <w:t xml:space="preserve">effects, and Binance is confirmed as essentially the sole upstream contributor.</w:t>
      </w:r>
      <w:r>
        <w:t xml:space="preserve"> </w:t>
      </w:r>
      <w:r>
        <w:t xml:space="preserve">The dominant channel is also robust to estimation error: under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Gaussian</w:t>
      </w:r>
      <w:r>
        <w:t xml:space="preserve"> </w:t>
      </w:r>
      <w:r>
        <w:t xml:space="preserve">perturbation of every structural coefficient, the Binance</w:t>
      </w:r>
      <m:oMath>
        <m:r>
          <m:rPr>
            <m:sty m:val="p"/>
          </m:rPr>
          <m:t>→</m:t>
        </m:r>
      </m:oMath>
      <w:r>
        <w:t xml:space="preserve">Bybit share stays</w:t>
      </w:r>
      <w:r>
        <w:t xml:space="preserve"> </w:t>
      </w:r>
      <w:r>
        <w:t xml:space="preserve">at</w:t>
      </w:r>
      <w:r>
        <w:t xml:space="preserve"> </w:t>
      </w:r>
      <m:oMath>
        <m:r>
          <m:t>0.98</m:t>
        </m:r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and remains positive in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draws.</w:t>
      </w:r>
    </w:p>
    <w:bookmarkStart w:id="61" w:name="tab:rank"/>
    <w:p>
      <w:pPr>
        <w:pStyle w:val="TableCaption"/>
      </w:pPr>
      <w:r>
        <w:t xml:space="preserve">Top OC-CoVaR exported-risk entities (hourly) and</w:t>
      </w:r>
      <w:r>
        <w:t xml:space="preserve"> </w:t>
      </w:r>
      <m:oMath>
        <m:r>
          <m:t>Δ</m:t>
        </m:r>
      </m:oMath>
      <w:r>
        <w:t xml:space="preserve">CoVaR for the</w:t>
      </w:r>
      <w:r>
        <w:t xml:space="preserve"> </w:t>
      </w:r>
      <w:r>
        <w:t xml:space="preserve">mappable assets. OC-CoVaR vs. </w:t>
      </w:r>
      <m:oMath>
        <m:r>
          <m:t>Δ</m:t>
        </m:r>
      </m:oMath>
      <w:r>
        <w:t xml:space="preserve">CoVaR 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op OC-CoVaR exported-risk entities (hourly) and \DeltaCoVaR for the mappable assets. OC-CoVaR vs. \DeltaCoVaR Spearman \rho=0.52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Exported risk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bCs/>
                <w:b/>
              </w:rPr>
              <w:t xml:space="preserve">CoVaR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ETH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0.0220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24.52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stETH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0.0176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Coinbase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BTC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0.0167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Bitfinex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11.42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BNB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0.0147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Gate.io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0.0127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Bybit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0.0114</m:t>
              </m:r>
            </m:oMath>
          </w:p>
        </w:tc>
      </w:tr>
    </w:tbl>
    <w:bookmarkEnd w:id="61"/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3960"/>
        <w:gridCol w:w="396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580953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ig_oc_ranking.pdf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09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22636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fig_h3_scatter.pdf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26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Left: OC-CoVaR exported-risk ranking (hourly). Right: rank divergence</w:t>
      </w:r>
      <w:r>
        <w:t xml:space="preserve"> </w:t>
      </w:r>
      <w:r>
        <w:t xml:space="preserve">between OC-CoVaR and</w:t>
      </w:r>
      <w:r>
        <w:t xml:space="preserve"> </w:t>
      </w:r>
      <m:oMath>
        <m:r>
          <m:t>Δ</m:t>
        </m:r>
      </m:oMath>
      <w:r>
        <w:t xml:space="preserve">CoVaR over the mappable entities; points off the</w:t>
      </w:r>
      <w:r>
        <w:t xml:space="preserve"> </w:t>
      </w:r>
      <w:r>
        <w:t xml:space="preserve">diagonal indicate disagreement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0.52</m:t>
        </m:r>
      </m:oMath>
      <w:r>
        <w:t xml:space="preserve">).</w:t>
      </w:r>
    </w:p>
    <w:bookmarkStart w:id="68" w:name="tab:cf"/>
    <w:p>
      <w:pPr>
        <w:pStyle w:val="TableCaption"/>
      </w:pPr>
      <w:r>
        <w:t xml:space="preserve">Leading counterfactual loss-attribution channels</w:t>
      </w:r>
      <w:r>
        <w:t xml:space="preserve"> </w:t>
      </w:r>
      <m:oMath>
        <m:sSubSup>
          <m:e>
            <m:r>
              <m:t>Δ</m:t>
            </m:r>
          </m:e>
          <m:sub>
            <m:r>
              <m:t>i</m:t>
            </m:r>
          </m:sub>
          <m:sup>
            <m:r>
              <m:t>C</m:t>
            </m:r>
            <m:r>
              <m:t>F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j</m:t>
            </m:r>
          </m:e>
        </m:d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Leading counterfactual loss-attribution channels \Delta_i^{CF}(j)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Channel</w:t>
            </w:r>
            <w:r>
              <w:rPr>
                <w:bCs/>
                <w:b/>
              </w:rPr>
              <w:t xml:space="preserve"> </w:t>
            </w:r>
            <m:oMath>
              <m:r>
                <m:t>i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share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Binance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Bybit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98.1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inter-exchange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Binance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Gate.io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58.4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inter-exchange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Binance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Bitfinex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45.3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inter-exchange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Ethena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Aave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11.3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USDe collateral composability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Binance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Aave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CEX-to-DeFi spillover</w:t>
            </w:r>
          </w:p>
        </w:tc>
      </w:tr>
    </w:tbl>
    <w:bookmarkEnd w:id="68"/>
    <w:p>
      <w:pPr>
        <w:pStyle w:val="CaptionedFigure"/>
      </w:pPr>
      <w:r>
        <w:drawing>
          <wp:inline>
            <wp:extent cx="49276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fig_attribution.pdf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Counterfactual loss-attribution shares (hourly): the fraction of each</w:t>
      </w:r>
      <w:r>
        <w:t xml:space="preserve"> </w:t>
      </w:r>
      <w:r>
        <w:t xml:space="preserve">target entity’s realised distress attributable to the source’s distress.</w:t>
      </w:r>
    </w:p>
    <w:p>
      <w:pPr>
        <w:pStyle w:val="CaptionedFigure"/>
      </w:pPr>
      <w:r>
        <w:drawing>
          <wp:inline>
            <wp:extent cx="4572000" cy="23749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ig_shapley.pdf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Order-robust Shapley decomposition of Bybit’s event-window distress.</w:t>
      </w:r>
      <w:r>
        <w:t xml:space="preserve"> </w:t>
      </w:r>
      <w:r>
        <w:t xml:space="preserve">The values sum to the total single-removal effect (additive residual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), so the attribution is an exact decomposition; Binance is the</w:t>
      </w:r>
      <w:r>
        <w:t xml:space="preserve"> </w:t>
      </w:r>
      <w:r>
        <w:t xml:space="preserve">sole positive contributor.</w:t>
      </w:r>
    </w:p>
    <w:bookmarkEnd w:id="75"/>
    <w:bookmarkStart w:id="84" w:name="subsec:h2valid"/>
    <w:p>
      <w:pPr>
        <w:pStyle w:val="Heading2"/>
      </w:pPr>
      <w:r>
        <w:t xml:space="preserve">Falsification and the validity battery (H2)</w:t>
      </w:r>
    </w:p>
    <w:p>
      <w:pPr>
        <w:pStyle w:val="FirstParagraph"/>
      </w:pPr>
      <w:r>
        <w:t xml:space="preserve">The edge-reversal test (Table </w:t>
      </w:r>
      <w:hyperlink w:anchor="tab:falsif">
        <w:r>
          <w:rPr>
            <w:rStyle w:val="Hyperlink"/>
          </w:rPr>
          <w:t xml:space="preserve">11</w:t>
        </w:r>
      </w:hyperlink>
      <w:r>
        <w:t xml:space="preserve">, Figure </w:t>
      </w:r>
      <w:hyperlink w:anchor="fig:falsif">
        <w:r>
          <w:rPr>
            <w:rStyle w:val="Hyperlink"/>
          </w:rPr>
          <w:t xml:space="preserve">8</w:t>
        </w:r>
      </w:hyperlink>
      <w:r>
        <w:t xml:space="preserve">) is the</w:t>
      </w:r>
      <w:r>
        <w:t xml:space="preserve"> </w:t>
      </w:r>
      <w:r>
        <w:t xml:space="preserve">most consequential result. At daily resolution the test is under-powered (six</w:t>
      </w:r>
      <w:r>
        <w:t xml:space="preserve"> </w:t>
      </w:r>
      <w:r>
        <w:t xml:space="preserve">event points) and even mildly favours the reversed graph. At hourly resolution,</w:t>
      </w:r>
      <w:r>
        <w:t xml:space="preserve"> </w:t>
      </w:r>
      <w:r>
        <w:t xml:space="preserve">with</w:t>
      </w:r>
      <w:r>
        <w:t xml:space="preserve"> </w:t>
      </w:r>
      <m:oMath>
        <m:r>
          <m:t>816</m:t>
        </m:r>
      </m:oMath>
      <w:r>
        <w:t xml:space="preserve"> </w:t>
      </w:r>
      <w:r>
        <w:t xml:space="preserve">one-step predictions, the true-direction graph is marginally best in</w:t>
      </w:r>
      <w:r>
        <w:t xml:space="preserve"> </w:t>
      </w:r>
      <w:r>
        <w:t xml:space="preserve">the consolidated October-2025 run (</w:t>
      </w:r>
      <m:oMath>
        <m:r>
          <m:t>1.663</m:t>
        </m:r>
      </m:oMath>
      <w:r>
        <w:t xml:space="preserve"> </w:t>
      </w:r>
      <w:r>
        <w:t xml:space="preserve">vs. reversed</w:t>
      </w:r>
      <w:r>
        <w:t xml:space="preserve"> </w:t>
      </w:r>
      <m:oMath>
        <m:r>
          <m:t>1.675</m:t>
        </m:r>
      </m:oMath>
      <w:r>
        <w:t xml:space="preserve"> </w:t>
      </w:r>
      <w:r>
        <w:t xml:space="preserve">and symmetric</w:t>
      </w:r>
      <w:r>
        <w:t xml:space="preserve"> </w:t>
      </w:r>
      <m:oMath>
        <m:r>
          <m:t>1.667</m:t>
        </m:r>
      </m:oMath>
      <w:r>
        <w:t xml:space="preserve">), but the three variants land within roughly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of one another—a</w:t>
      </w:r>
      <w:r>
        <w:t xml:space="preserve"> </w:t>
      </w:r>
      <w:r>
        <w:t xml:space="preserve">near-tie for this particular cascade. The interpretation, however, is not that</w:t>
      </w:r>
      <w:r>
        <w:t xml:space="preserve"> </w:t>
      </w:r>
      <w:r>
        <w:t xml:space="preserve">direction is globally uninformative; it is that the</w:t>
      </w:r>
      <w:r>
        <w:t xml:space="preserve"> </w:t>
      </w:r>
      <w:r>
        <w:rPr>
          <w:iCs/>
          <w:i/>
        </w:rPr>
        <w:t xml:space="preserve">October-2025 event is</w:t>
      </w:r>
      <w:r>
        <w:rPr>
          <w:iCs/>
          <w:i/>
        </w:rPr>
        <w:t xml:space="preserve"> </w:t>
      </w:r>
      <w:r>
        <w:rPr>
          <w:iCs/>
          <w:i/>
        </w:rPr>
        <w:t xml:space="preserve">dominated by custodial exchange flows</w:t>
      </w:r>
      <w:r>
        <w:t xml:space="preserve">, which our descriptive statistics already</w:t>
      </w:r>
      <w:r>
        <w:t xml:space="preserve"> </w:t>
      </w:r>
      <w:r>
        <w:t xml:space="preserve">flagged as broadly symmetric, so direction has little to bite on. Two further</w:t>
      </w:r>
      <w:r>
        <w:t xml:space="preserve"> </w:t>
      </w:r>
      <w:r>
        <w:t xml:space="preserve">analyses make this precise. First, resolving the test by edge type shows that</w:t>
      </w:r>
      <w:r>
        <w:t xml:space="preserve"> </w:t>
      </w:r>
      <w:r>
        <w:t xml:space="preserve">reversing only the custodial edges raises the error (</w:t>
      </w:r>
      <m:oMath>
        <m:r>
          <m:t>1.675</m:t>
        </m:r>
      </m:oMath>
      <w:r>
        <w:t xml:space="preserve">) whereas reversing</w:t>
      </w:r>
      <w:r>
        <w:t xml:space="preserve"> </w:t>
      </w:r>
      <w:r>
        <w:t xml:space="preserve">only the four documented composability edges leaves it unchanged (</w:t>
      </w:r>
      <m:oMath>
        <m:r>
          <m:t>1.663</m:t>
        </m:r>
      </m:oMath>
      <w:r>
        <w:t xml:space="preserve">): the</w:t>
      </w:r>
      <w:r>
        <w:t xml:space="preserve"> </w:t>
      </w:r>
      <w:r>
        <w:t xml:space="preserve">small directional signal that exists in this event sits on custodial edges,</w:t>
      </w:r>
      <w:r>
        <w:t xml:space="preserve"> </w:t>
      </w:r>
      <w:r>
        <w:t xml:space="preserve">while the composability edges are too few and too low-volume to register. Second, and decisively for the</w:t>
      </w:r>
      <w:r>
        <w:t xml:space="preserve"> </w:t>
      </w:r>
      <w:r>
        <w:t xml:space="preserve">circularity concern, on the</w:t>
      </w:r>
      <w:r>
        <w:t xml:space="preserve"> </w:t>
      </w:r>
      <w:r>
        <w:rPr>
          <w:iCs/>
          <w:i/>
        </w:rPr>
        <w:t xml:space="preserve">leakage-free non-flow stress target</w:t>
      </w:r>
      <w:r>
        <w:t xml:space="preserve"> </w:t>
      </w:r>
      <w:r>
        <w:t xml:space="preserve">(price/peg</w:t>
      </w:r>
      <w:r>
        <w:t xml:space="preserve"> </w:t>
      </w:r>
      <w:r>
        <w:t xml:space="preserve">drawdowns only) reversing edges degrades one-step prediction by about</w:t>
      </w:r>
      <w:r>
        <w:t xml:space="preserve"> </w:t>
      </w:r>
      <m:oMath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(true-direction weighted RMSE</w:t>
      </w:r>
      <w:r>
        <w:t xml:space="preserve"> </w:t>
      </w:r>
      <m:oMath>
        <m:r>
          <m:t>1.025</m:t>
        </m:r>
      </m:oMath>
      <w:r>
        <w:t xml:space="preserve"> </w:t>
      </w:r>
      <w:r>
        <w:t xml:space="preserve">vs. reversed</w:t>
      </w:r>
      <w:r>
        <w:t xml:space="preserve"> </w:t>
      </w:r>
      <m:oMath>
        <m:r>
          <m:t>1.129</m:t>
        </m:r>
      </m:oMath>
      <w:r>
        <w:t xml:space="preserve">): the directional</w:t>
      </w:r>
      <w:r>
        <w:t xml:space="preserve"> </w:t>
      </w:r>
      <w:r>
        <w:t xml:space="preserve">signal is therefore not an artefact of flow-defined stress. Third, and more</w:t>
      </w:r>
      <w:r>
        <w:t xml:space="preserve"> </w:t>
      </w:r>
      <w:r>
        <w:t xml:space="preserve">tellingly still, the multi-event analysis below shows that in events with a</w:t>
      </w:r>
      <w:r>
        <w:t xml:space="preserve"> </w:t>
      </w:r>
      <w:r>
        <w:t xml:space="preserve">richer directional mechanism—FTX (November 2022) and the USDC/SVB depeg</w:t>
      </w:r>
      <w:r>
        <w:t xml:space="preserve"> </w:t>
      </w:r>
      <w:r>
        <w:t xml:space="preserve">(March 2023)—the true-direction graph beats the reversed graph by a clear</w:t>
      </w:r>
      <w:r>
        <w:t xml:space="preserve"> </w:t>
      </w:r>
      <w:r>
        <w:t xml:space="preserve">margin. A3 is therefore</w:t>
      </w:r>
      <w:r>
        <w:t xml:space="preserve"> </w:t>
      </w:r>
      <w:r>
        <w:t xml:space="preserve">best stated as an</w:t>
      </w:r>
      <w:r>
        <w:t xml:space="preserve"> </w:t>
      </w:r>
      <w:r>
        <w:rPr>
          <w:iCs/>
          <w:i/>
        </w:rPr>
        <w:t xml:space="preserve">event- and edge-type-conditional</w:t>
      </w:r>
      <w:r>
        <w:t xml:space="preserve"> </w:t>
      </w:r>
      <w:r>
        <w:t xml:space="preserve">claim that holds where</w:t>
      </w:r>
      <w:r>
        <w:t xml:space="preserve"> </w:t>
      </w:r>
      <w:r>
        <w:t xml:space="preserve">the contagion mechanism is genuinely directional and is uninformative where flows</w:t>
      </w:r>
      <w:r>
        <w:t xml:space="preserve"> </w:t>
      </w:r>
      <w:r>
        <w:t xml:space="preserve">are symmetric custodial settlement—a sharper and more defensible statement than</w:t>
      </w:r>
      <w:r>
        <w:t xml:space="preserve"> </w:t>
      </w:r>
      <w:r>
        <w:t xml:space="preserve">either a blanket assertion or a blanket rejection, and one the falsification</w:t>
      </w:r>
      <w:r>
        <w:t xml:space="preserve"> </w:t>
      </w:r>
      <w:r>
        <w:t xml:space="preserve">machinery delivered rather than assumed.</w:t>
      </w:r>
    </w:p>
    <w:p>
      <w:pPr>
        <w:pStyle w:val="BodyText"/>
      </w:pPr>
      <w:r>
        <w:t xml:space="preserve">Because observational causal claims cannot be proven, we subject them to five</w:t>
      </w:r>
      <w:r>
        <w:t xml:space="preserve"> </w:t>
      </w:r>
      <w:r>
        <w:t xml:space="preserve">further checks (Table </w:t>
      </w:r>
      <w:hyperlink w:anchor="tab:valid">
        <w:r>
          <w:rPr>
            <w:rStyle w:val="Hyperlink"/>
          </w:rPr>
          <w:t xml:space="preserve">12</w:t>
        </w:r>
      </w:hyperlink>
      <w:r>
        <w:t xml:space="preserve">). A placebo / negative-control test finds</w:t>
      </w:r>
      <w:r>
        <w:t xml:space="preserve"> </w:t>
      </w:r>
      <w:r>
        <w:t xml:space="preserve">that the counterfactual measure attributes exactly zero loss between entity</w:t>
      </w:r>
      <w:r>
        <w:t xml:space="preserve"> </w:t>
      </w:r>
      <w:r>
        <w:t xml:space="preserve">pairs with no directed on-chain path (maximum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p>
              <m:e>
                <m:r>
                  <m:t>Δ</m:t>
                </m:r>
              </m:e>
              <m:sup>
                <m:r>
                  <m:t>C</m:t>
                </m:r>
                <m:r>
                  <m:t>F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unconnected pairs, against a mean of</w:t>
      </w:r>
      <w:r>
        <w:t xml:space="preserve"> </w:t>
      </w:r>
      <m:oMath>
        <m:r>
          <m:t>0.26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197</m:t>
        </m:r>
      </m:oMath>
      <w:r>
        <w:t xml:space="preserve"> </w:t>
      </w:r>
      <w:r>
        <w:t xml:space="preserve">connected pairs), so the</w:t>
      </w:r>
      <w:r>
        <w:t xml:space="preserve"> </w:t>
      </w:r>
      <w:r>
        <w:t xml:space="preserve">method does not fabricate causation. The confounding-sensitivity analysis shows</w:t>
      </w:r>
      <w:r>
        <w:t xml:space="preserve"> </w:t>
      </w:r>
      <w:r>
        <w:t xml:space="preserve">that the strongest edges carry moderate robustness values—for example</w:t>
      </w:r>
      <w:r>
        <w:t xml:space="preserve"> </w:t>
      </w:r>
      <w:r>
        <w:t xml:space="preserve">retail</w:t>
      </w:r>
      <m:oMath>
        <m:r>
          <m:t> </m:t>
        </m:r>
        <m:r>
          <m:rPr>
            <m:sty m:val="p"/>
          </m:rPr>
          <m:t>→</m:t>
        </m:r>
        <m:r>
          <m:t> </m:t>
        </m:r>
      </m:oMath>
      <w:r>
        <w:t xml:space="preserve">Coinbase has</w:t>
      </w:r>
      <w:r>
        <w:t xml:space="preserve"> </w:t>
      </w:r>
      <m:oMath>
        <m:r>
          <m:t>R</m:t>
        </m:r>
        <m:r>
          <m:t>V</m:t>
        </m:r>
        <m:r>
          <m:rPr>
            <m:sty m:val="p"/>
          </m:rPr>
          <m:t>=</m:t>
        </m:r>
        <m:r>
          <m:t>0.226</m:t>
        </m:r>
      </m:oMath>
      <w:r>
        <w:t xml:space="preserve"> </w:t>
      </w:r>
      <w:r>
        <w:t xml:space="preserve">(Figure </w:t>
      </w:r>
      <w:hyperlink w:anchor="fig:rv">
        <w:r>
          <w:rPr>
            <w:rStyle w:val="Hyperlink"/>
          </w:rPr>
          <w:t xml:space="preserve">9</w:t>
        </w:r>
      </w:hyperlink>
      <w:r>
        <w:t xml:space="preserve">)—meaning a hidden</w:t>
      </w:r>
      <w:r>
        <w:t xml:space="preserve"> </w:t>
      </w:r>
      <w:r>
        <w:t xml:space="preserve">confounder would need to explain over a fifth of the residual variance in both</w:t>
      </w:r>
      <w:r>
        <w:t xml:space="preserve"> </w:t>
      </w:r>
      <w:r>
        <w:t xml:space="preserve">endpoints to nullify that single coefficient; this is a coefficient-level bound,</w:t>
      </w:r>
      <w:r>
        <w:t xml:space="preserve"> </w:t>
      </w:r>
      <w:r>
        <w:t xml:space="preserve">however, and does not by itself establish that the downstream</w:t>
      </w:r>
      <w:r>
        <w:t xml:space="preserve"> </w:t>
      </w:r>
      <w:r>
        <w:rPr>
          <w:iCs/>
          <w:i/>
        </w:rPr>
        <w:t xml:space="preserve">ranking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attribution</w:t>
      </w:r>
      <w:r>
        <w:t xml:space="preserve"> </w:t>
      </w:r>
      <w:r>
        <w:t xml:space="preserve">is robust, so we test that directly. Dropping the quartile of</w:t>
      </w:r>
      <w:r>
        <w:t xml:space="preserve"> </w:t>
      </w:r>
      <w:r>
        <w:t xml:space="preserve">structural edges with the lowest robustness value and recomputing the</w:t>
      </w:r>
      <w:r>
        <w:t xml:space="preserve"> </w:t>
      </w:r>
      <w:r>
        <w:t xml:space="preserve">exported-risk ranking leaves it essentially unchanged (Spearman</w:t>
      </w:r>
      <w:r>
        <w:t xml:space="preserve"> </w:t>
      </w:r>
      <m:oMath>
        <m:r>
          <m:t>0.94</m:t>
        </m:r>
      </m:oMath>
      <w:r>
        <w:t xml:space="preserve"> </w:t>
      </w:r>
      <w:r>
        <w:t xml:space="preserve">against</w:t>
      </w:r>
      <w:r>
        <w:t xml:space="preserve"> </w:t>
      </w:r>
      <w:r>
        <w:t xml:space="preserve">the full-graph ranking, top-3 identical); injecting a synthetic latent AR(1)</w:t>
      </w:r>
      <w:r>
        <w:t xml:space="preserve"> </w:t>
      </w:r>
      <w:r>
        <w:t xml:space="preserve">confounder shared by every entity—a stand-in for an unobserved CEX-engine-like</w:t>
      </w:r>
      <w:r>
        <w:t xml:space="preserve"> </w:t>
      </w:r>
      <w:r>
        <w:t xml:space="preserve">common shock—and refitting the SCM on the contaminated series still leaves the</w:t>
      </w:r>
      <w:r>
        <w:t xml:space="preserve"> </w:t>
      </w:r>
      <w:r>
        <w:t xml:space="preserve">ranking highly correlated with the uncontaminated one (Spearman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at a</w:t>
      </w:r>
      <w:r>
        <w:t xml:space="preserve"> </w:t>
      </w:r>
      <w:r>
        <w:t xml:space="preserve">moderate shock strength and</w:t>
      </w:r>
      <w:r>
        <w:t xml:space="preserve"> </w:t>
      </w:r>
      <m:oMath>
        <m:r>
          <m:t>0.81</m:t>
        </m:r>
      </m:oMath>
      <w:r>
        <w:t xml:space="preserve"> </w:t>
      </w:r>
      <w:r>
        <w:t xml:space="preserve">at a strength twice the typical</w:t>
      </w:r>
      <w:r>
        <w:t xml:space="preserve"> </w:t>
      </w:r>
      <w:r>
        <w:t xml:space="preserve">idiosyncratic stress volatility; top-3 identical in both cases). The ranking is</w:t>
      </w:r>
      <w:r>
        <w:t xml:space="preserve"> </w:t>
      </w:r>
      <w:r>
        <w:t xml:space="preserve">also stable between the seed-only (Tier-0) and fully resolved (Tier-3) graphs</w:t>
      </w:r>
      <w:r>
        <w:t xml:space="preserve"> </w:t>
      </w:r>
      <w:r>
        <w:t xml:space="preserve">(Spearman</w:t>
      </w:r>
      <w:r>
        <w:t xml:space="preserve"> </w:t>
      </w:r>
      <m:oMath>
        <m:r>
          <m:t>0.81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), so it is not an artefact of the resolution tier.</w:t>
      </w:r>
      <w:r>
        <w:t xml:space="preserve"> </w:t>
      </w:r>
      <w:r>
        <w:t xml:space="preserve">And, most tellingly, the OC-CoVaR ranking orders the documented transmitters</w:t>
      </w:r>
      <w:r>
        <w:t xml:space="preserve"> </w:t>
      </w:r>
      <w:r>
        <w:t xml:space="preserve">(exchanges, Ethena) strictly above the documented absorbers (Aave, Lido), with</w:t>
      </w:r>
      <w:r>
        <w:t xml:space="preserve"> </w:t>
      </w:r>
      <w:r>
        <w:t xml:space="preserve">transmitter–absorber separation</w:t>
      </w:r>
      <w:r>
        <w:t xml:space="preserve"> </w:t>
      </w:r>
      <m:oMath>
        <m:r>
          <m:t>12.87</m:t>
        </m:r>
      </m:oMath>
      <w:r>
        <w:t xml:space="preserve"> </w:t>
      </w:r>
      <w:r>
        <w:t xml:space="preserve">and pairwise concordance</w:t>
      </w:r>
      <w:r>
        <w:t xml:space="preserve"> </w:t>
      </w:r>
      <m:oMath>
        <m:r>
          <m:t>1.00</m:t>
        </m:r>
      </m:oMath>
      <w:r>
        <w:t xml:space="preserve">,</w:t>
      </w:r>
      <w:r>
        <w:t xml:space="preserve"> </w:t>
      </w:r>
      <w:r>
        <w:t xml:space="preserve">independently reproducing the conclusion of the forensic post-mortems</w:t>
      </w:r>
      <w:r>
        <w:t xml:space="preserve"> </w:t>
      </w:r>
      <w:r>
        <w:t xml:space="preserve">(Ali 2025; Lim 2026)</w:t>
      </w:r>
      <w:r>
        <w:t xml:space="preserve">.</w:t>
      </w:r>
    </w:p>
    <w:p>
      <w:pPr>
        <w:pStyle w:val="BodyText"/>
      </w:pPr>
      <w:r>
        <w:t xml:space="preserve">Two further robustness checks address the role of the aggregate retail node and</w:t>
      </w:r>
      <w:r>
        <w:t xml:space="preserve"> </w:t>
      </w:r>
      <w:r>
        <w:t xml:space="preserve">the reach of the resolution layer.</w:t>
      </w:r>
      <w:r>
        <w:t xml:space="preserve"> </w:t>
      </w:r>
      <w:r>
        <w:rPr>
          <w:iCs/>
          <w:i/>
        </w:rPr>
        <w:t xml:space="preserve">Retail is a residual</w:t>
      </w:r>
      <w:r>
        <w:rPr>
          <w:iCs/>
          <w:i/>
        </w:rPr>
        <w:t xml:space="preserve"> </w:t>
      </w:r>
      <w:r>
        <w:rPr>
          <w:iCs/>
          <w:i/>
        </w:rPr>
        <w:t xml:space="preserve">unresolved-address aggregator, not a single causal actor</w:t>
      </w:r>
      <w:r>
        <w:t xml:space="preserve">: it absorbs every</w:t>
      </w:r>
      <w:r>
        <w:t xml:space="preserve"> </w:t>
      </w:r>
      <w:r>
        <w:t xml:space="preserve">counterparty our Tier-0/1/2 heuristics fail to attach to a named entity—long-tail</w:t>
      </w:r>
      <w:r>
        <w:t xml:space="preserve"> </w:t>
      </w:r>
      <w:r>
        <w:t xml:space="preserve">wallets, bots, and, plausibly, some unlabelled institutional flow—so its node</w:t>
      </w:r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should be read as</w:t>
      </w:r>
      <w:r>
        <w:t xml:space="preserve"> </w:t>
      </w:r>
      <w:r>
        <w:t xml:space="preserve">“</w:t>
      </w:r>
      <w:r>
        <w:t xml:space="preserve">everything we could not yet resolve,</w:t>
      </w:r>
      <w:r>
        <w:t xml:space="preserve">”</w:t>
      </w:r>
      <w:r>
        <w:t xml:space="preserve"> </w:t>
      </w:r>
      <w:r>
        <w:t xml:space="preserve">not as a</w:t>
      </w:r>
      <w:r>
        <w:t xml:space="preserve"> </w:t>
      </w:r>
      <w:r>
        <w:t xml:space="preserve">behaviourally coherent agent. Re-running the systemic ranking with this node</w:t>
      </w:r>
      <w:r>
        <w:t xml:space="preserve"> </w:t>
      </w:r>
      <w:r>
        <w:rPr>
          <w:iCs/>
          <w:i/>
        </w:rPr>
        <w:t xml:space="preserve">removed</w:t>
      </w:r>
      <w:r>
        <w:t xml:space="preserve"> </w:t>
      </w:r>
      <w:r>
        <w:t xml:space="preserve">does not collapse the result: Binance remains the top</w:t>
      </w:r>
      <w:r>
        <w:t xml:space="preserve"> </w:t>
      </w:r>
      <w:r>
        <w:t xml:space="preserve">transmitter by a wide margin (</w:t>
      </w:r>
      <m:oMath>
        <m:r>
          <m:t>16.0</m:t>
        </m:r>
      </m:oMath>
      <w:r>
        <w:t xml:space="preserve">), now followed by the custodian FalconX</w:t>
      </w:r>
      <w:r>
        <w:t xml:space="preserve"> </w:t>
      </w:r>
      <w:r>
        <w:t xml:space="preserve">(</w:t>
      </w:r>
      <m:oMath>
        <m:r>
          <m:t>2.4</m:t>
        </m:r>
      </m:oMath>
      <w:r>
        <w:t xml:space="preserve">) and the protocol Ethena (</w:t>
      </w:r>
      <m:oMath>
        <m:r>
          <m:t>2.1</m:t>
        </m:r>
      </m:oMath>
      <w:r>
        <w:t xml:space="preserve">), so the inter-institutional structure</w:t>
      </w:r>
      <w:r>
        <w:t xml:space="preserve"> </w:t>
      </w:r>
      <w:r>
        <w:t xml:space="preserve">survives and the ranking is not merely a retail-hub artefact. The resolution</w:t>
      </w:r>
      <w:r>
        <w:t xml:space="preserve"> </w:t>
      </w:r>
      <w:r>
        <w:t xml:space="preserve">layer does, however, leave a clear recall limitation: of the</w:t>
      </w:r>
      <w:r>
        <w:t xml:space="preserve"> </w:t>
      </w:r>
      <w:r>
        <w:t xml:space="preserve">US$438 billion of flow in the window, every edge touches a named entity but</w:t>
      </w:r>
      <w:r>
        <w:t xml:space="preserve"> </w:t>
      </w:r>
      <w:r>
        <w:t xml:space="preserve">only about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moves directly between two named entities, the remainder being</w:t>
      </w:r>
      <w:r>
        <w:t xml:space="preserve"> </w:t>
      </w:r>
      <w:r>
        <w:t xml:space="preserve">exchange</w:t>
      </w:r>
      <m:oMath>
        <m:r>
          <m:rPr>
            <m:sty m:val="p"/>
          </m:rPr>
          <m:t>↔</m:t>
        </m:r>
      </m:oMath>
      <w:r>
        <w:t xml:space="preserve">retail settlement—which is precisely why the</w:t>
      </w:r>
      <w:r>
        <w:t xml:space="preserve"> </w:t>
      </w:r>
      <w:r>
        <w:t xml:space="preserve">counterfactual inter-institutional channels, though real, are sparse, and why</w:t>
      </w:r>
      <w:r>
        <w:t xml:space="preserve"> </w:t>
      </w:r>
      <w:r>
        <w:t xml:space="preserve">extending Tier-0/1/2 recall is the most valuable next step on the data side.</w:t>
      </w:r>
      <w:r>
        <w:t xml:space="preserve"> </w:t>
      </w:r>
      <w:r>
        <w:t xml:space="preserve">The Tier-1 classifier itself (Table </w:t>
      </w:r>
      <w:hyperlink w:anchor="tab:resval">
        <w:r>
          <w:rPr>
            <w:rStyle w:val="Hyperlink"/>
          </w:rPr>
          <w:t xml:space="preserve">7</w:t>
        </w:r>
      </w:hyperlink>
      <w:r>
        <w:t xml:space="preserve">, Section </w:t>
      </w:r>
      <w:hyperlink w:anchor="sec:data">
        <w:r>
          <w:rPr>
            <w:rStyle w:val="Hyperlink"/>
          </w:rPr>
          <w:t xml:space="preserve">4</w:t>
        </w:r>
      </w:hyperlink>
      <w:r>
        <w:t xml:space="preserve">)</w:t>
      </w:r>
      <w:r>
        <w:t xml:space="preserve"> </w:t>
      </w:r>
      <w:r>
        <w:t xml:space="preserve">makes the same point more sharply once the confusion matrix is weighted by</w:t>
      </w:r>
      <w:r>
        <w:t xml:space="preserve"> </w:t>
      </w:r>
      <w:r>
        <w:t xml:space="preserve">USD volume rather than by address count: address-count recall (</w:t>
      </w:r>
      <m:oMath>
        <m:r>
          <m:t>0.33</m:t>
        </m:r>
      </m:oMath>
      <w:r>
        <w:t xml:space="preserve">) looks</w:t>
      </w:r>
      <w:r>
        <w:t xml:space="preserve"> </w:t>
      </w:r>
      <w:r>
        <w:t xml:space="preserve">moderate, but volume-weighted recall is only</w:t>
      </w:r>
      <w:r>
        <w:t xml:space="preserve"> </w:t>
      </w:r>
      <m:oMath>
        <m:r>
          <m:t>0.001</m:t>
        </m:r>
      </m:oMath>
      <w:r>
        <w:t xml:space="preserve">, because the addresses</w:t>
      </w:r>
      <w:r>
        <w:t xml:space="preserve"> </w:t>
      </w:r>
      <w:r>
        <w:t xml:space="preserve">the classifier misses at its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-optimal threshold include the single</w:t>
      </w:r>
      <w:r>
        <w:t xml:space="preserve"> </w:t>
      </w:r>
      <w:r>
        <w:t xml:space="preserve">largest CEX hot wallet in the held-out sample. The resolved graph is therefore</w:t>
      </w:r>
      <w:r>
        <w:t xml:space="preserve"> </w:t>
      </w:r>
      <w:r>
        <w:t xml:space="preserve">high-precision at the entity level (we only assign a label we are confident</w:t>
      </w:r>
      <w:r>
        <w:t xml:space="preserve"> </w:t>
      </w:r>
      <w:r>
        <w:t xml:space="preserve">in) but recall-bounded in a way that is concentrated, not diffuse: a handful</w:t>
      </w:r>
      <w:r>
        <w:t xml:space="preserve"> </w:t>
      </w:r>
      <w:r>
        <w:t xml:space="preserve">of very high-volume addresses—exactly the ones that matter most for a</w:t>
      </w:r>
      <w:r>
        <w:t xml:space="preserve"> </w:t>
      </w:r>
      <w:r>
        <w:t xml:space="preserve">dollar-denominated systemic-risk measure—are the hardest for a purely</w:t>
      </w:r>
      <w:r>
        <w:t xml:space="preserve"> </w:t>
      </w:r>
      <w:r>
        <w:t xml:space="preserve">statistical classifier to catch, which is the central reason the main</w:t>
      </w:r>
      <w:r>
        <w:t xml:space="preserve"> </w:t>
      </w:r>
      <w:r>
        <w:t xml:space="preserve">pipeline relies on Tier-3 direct label-matching rather than the Tier-1</w:t>
      </w:r>
      <w:r>
        <w:t xml:space="preserve"> </w:t>
      </w:r>
      <w:r>
        <w:t xml:space="preserve">classifier, and is exactly the limitation the retail-removal and</w:t>
      </w:r>
      <w:r>
        <w:t xml:space="preserve"> </w:t>
      </w:r>
      <w:r>
        <w:t xml:space="preserve">Tier-0-vs-Tier-3 checks above are designed to bound rather than to deny.</w:t>
      </w:r>
      <w:r>
        <w:t xml:space="preserve"> </w:t>
      </w:r>
      <w:r>
        <w:t xml:space="preserve">Finally, we propagate robustness to the</w:t>
      </w:r>
      <w:r>
        <w:t xml:space="preserve"> </w:t>
      </w:r>
      <w:r>
        <w:rPr>
          <w:iCs/>
          <w:i/>
        </w:rPr>
        <w:t xml:space="preserve">final output</w:t>
      </w:r>
      <w:r>
        <w:t xml:space="preserve">, not merely the</w:t>
      </w:r>
      <w:r>
        <w:t xml:space="preserve"> </w:t>
      </w:r>
      <w:r>
        <w:t xml:space="preserve">coefficients: under</w:t>
      </w:r>
      <w:r>
        <w:t xml:space="preserve"> </w:t>
      </w:r>
      <m:oMath>
        <m:r>
          <m:rPr>
            <m:sty m:val="p"/>
          </m:rPr>
          <m:t>±</m:t>
        </m:r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Gaussian perturbation of every structural</w:t>
      </w:r>
      <w:r>
        <w:t xml:space="preserve"> </w:t>
      </w:r>
      <w:r>
        <w:t xml:space="preserve">coefficient, the exported-risk ranking is stable (mean Spearman</w:t>
      </w:r>
      <w:r>
        <w:t xml:space="preserve"> </w:t>
      </w:r>
      <m:oMath>
        <m:r>
          <m:t>0.88</m:t>
        </m:r>
      </m:oMath>
      <w:r>
        <w:t xml:space="preserve"> </w:t>
      </w:r>
      <w:r>
        <w:t xml:space="preserve">against</w:t>
      </w:r>
      <w:r>
        <w:t xml:space="preserve"> </w:t>
      </w:r>
      <w:r>
        <w:t xml:space="preserve">the unperturbed ranking over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draws, top-3 overlap</w:t>
      </w:r>
      <w:r>
        <w:t xml:space="preserve"> </w:t>
      </w:r>
      <m:oMath>
        <m:r>
          <m:t>0.79</m:t>
        </m:r>
      </m:oMath>
      <w:r>
        <w:t xml:space="preserve">), so the</w:t>
      </w:r>
      <w:r>
        <w:t xml:space="preserve"> </w:t>
      </w:r>
      <w:r>
        <w:t xml:space="preserve">systemic-importance ordering is not a knife-edge of the point estimates.</w:t>
      </w:r>
    </w:p>
    <w:bookmarkStart w:id="76" w:name="tab:falsif"/>
    <w:p>
      <w:pPr>
        <w:pStyle w:val="TableCaption"/>
      </w:pPr>
      <w:r>
        <w:t xml:space="preserve">Edge-reversal falsification (one-step RMSE; lower is better).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Edge-reversal falsification (one-step RMSE; lower is better)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Daily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Hourly (consol.)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Hourly (816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 direction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reversed edges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1.797</w:t>
            </w:r>
          </w:p>
        </w:tc>
      </w:tr>
    </w:tbl>
    <w:bookmarkEnd w:id="76"/>
    <w:p>
      <w:pPr>
        <w:pStyle w:val="CaptionedFigure"/>
      </w:pPr>
      <w:r>
        <w:drawing>
          <wp:inline>
            <wp:extent cx="4927600" cy="2921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fig_falsification.pd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600" cy="292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A3 edge-reversal test. Direction is decisive neither way once adequate</w:t>
      </w:r>
      <w:r>
        <w:t xml:space="preserve"> </w:t>
      </w:r>
      <w:r>
        <w:t xml:space="preserve">power is available; the three variants are statistically indistinguishable at</w:t>
      </w:r>
      <w:r>
        <w:t xml:space="preserve"> </w:t>
      </w:r>
      <w:r>
        <w:t xml:space="preserve">hourly resolution.</w:t>
      </w:r>
    </w:p>
    <w:bookmarkStart w:id="80" w:name="tab:valid"/>
    <w:p>
      <w:pPr>
        <w:pStyle w:val="TableCaption"/>
      </w:pPr>
      <w:r>
        <w:t xml:space="preserve">Validity and falsification battery (hourly).</w:t>
      </w:r>
    </w:p>
    <w:tbl>
      <w:tblPr>
        <w:tblStyle w:val="Table"/>
        <w:tblW w:type="pct" w:w="3750"/>
        <w:tblLook w:firstRow="1" w:lastRow="0" w:firstColumn="0" w:lastColumn="0" w:noHBand="0" w:noVBand="0" w:val="0020"/>
        <w:jc w:val="start"/>
        <w:tblCaption w:val="Validity and falsification battery (hourly)."/>
      </w:tblPr>
      <w:tblGrid>
        <w:gridCol w:w="2613"/>
        <w:gridCol w:w="3326"/>
        <w:gridCol w:w="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Statistic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Placebo / negative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t>C</m:t>
                      </m:r>
                      <m:r>
                        <m:t>F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off-path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connected mean</w:t>
            </w:r>
            <w:r>
              <w:t xml:space="preserve"> </w:t>
            </w:r>
            <m:oMath>
              <m:r>
                <m:t>0.26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Resolution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</w:t>
            </w:r>
            <w:r>
              <w:t xml:space="preserve"> </w:t>
            </w:r>
            <m:oMath>
              <m:r>
                <m:t>0.81</m:t>
              </m:r>
            </m:oMath>
            <w:r>
              <w:t xml:space="preserve"> </w:t>
            </w:r>
            <w:r>
              <w:t xml:space="preserve">(Tier-0 vs Tier-3)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separation</w:t>
            </w:r>
            <w:r>
              <w:t xml:space="preserve"> </w:t>
            </w:r>
            <m:oMath>
              <m:r>
                <m:t>12.87</m:t>
              </m:r>
            </m:oMath>
            <w:r>
              <w:t xml:space="preserve">, concordance</w:t>
            </w:r>
            <w:r>
              <w:t xml:space="preserve"> </w:t>
            </w:r>
            <m:oMath>
              <m:r>
                <m:t>1.00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Confounding (top edge, coefficient-level)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0.226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Confounding (ranking-level, drop low-</w:t>
            </w:r>
            <m:oMath>
              <m:r>
                <m:t>R</m:t>
              </m:r>
              <m:r>
                <m:t>V</m:t>
              </m:r>
            </m:oMath>
            <w:r>
              <w:t xml:space="preserve"> </w:t>
            </w:r>
            <w:r>
              <w:t xml:space="preserve">quartile)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</w:t>
            </w:r>
            <w:r>
              <w:t xml:space="preserve"> </w:t>
            </w:r>
            <m:oMath>
              <m:r>
                <m:t>0.94</m:t>
              </m:r>
            </m:oMath>
            <w:r>
              <w:t xml:space="preserve"> </w:t>
            </w:r>
            <w:r>
              <w:t xml:space="preserve">vs. full graph; top-3 unchanged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Confounding (ranking-level, latent AR(1) shock)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</w:t>
            </w:r>
            <w:r>
              <w:t xml:space="preserve"> </w:t>
            </w:r>
            <m:oMath>
              <m:r>
                <m:t>0.84</m:t>
              </m:r>
            </m:oMath>
            <w:r>
              <w:t xml:space="preserve"> </w:t>
            </w:r>
            <w:r>
              <w:t xml:space="preserve">(moderate),</w:t>
            </w:r>
            <w:r>
              <w:t xml:space="preserve"> </w:t>
            </w:r>
            <m:oMath>
              <m:r>
                <m:t>0.81</m:t>
              </m:r>
            </m:oMath>
            <w:r>
              <w:t xml:space="preserve"> </w:t>
            </w:r>
            <w:r>
              <w:t xml:space="preserve">(strong); top-3 unchanged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</w:tbl>
    <w:bookmarkEnd w:id="80"/>
    <w:p>
      <w:pPr>
        <w:pStyle w:val="CaptionedFigure"/>
      </w:pPr>
      <w:r>
        <w:drawing>
          <wp:inline>
            <wp:extent cx="4927600" cy="2921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ig_robustness.pdf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600" cy="292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Robustness values for the strongest structural coefficients. Larger</w:t>
      </w:r>
      <w:r>
        <w:t xml:space="preserve"> </w:t>
      </w:r>
      <w:r>
        <w:t xml:space="preserve">values indicate edges harder to overturn with unobserved confounding.</w:t>
      </w:r>
    </w:p>
    <w:bookmarkEnd w:id="84"/>
    <w:bookmarkStart w:id="86" w:name="subsec:multievent"/>
    <w:p>
      <w:pPr>
        <w:pStyle w:val="Heading2"/>
      </w:pPr>
      <w:r>
        <w:t xml:space="preserve">Multi-event validation</w:t>
      </w:r>
    </w:p>
    <w:p>
      <w:pPr>
        <w:pStyle w:val="FirstParagraph"/>
      </w:pPr>
      <w:r>
        <w:t xml:space="preserve">A single event cannot establish generality, so we re-run the entire pipeline on</w:t>
      </w:r>
      <w:r>
        <w:t xml:space="preserve"> </w:t>
      </w:r>
      <w:r>
        <w:t xml:space="preserve">two earlier episodes that pre-date Ethena/USDe—the FTX collapse</w:t>
      </w:r>
      <w:r>
        <w:t xml:space="preserve"> </w:t>
      </w:r>
      <w:r>
        <w:t xml:space="preserve">(7–16 November 2022) and the USDC depeg around the Silicon Valley Bank failure</w:t>
      </w:r>
      <w:r>
        <w:t xml:space="preserve"> </w:t>
      </w:r>
      <w:r>
        <w:t xml:space="preserve">(9–16 March 2023)—using the dollar-settlement assets present then (USDC, USDT,</w:t>
      </w:r>
      <w:r>
        <w:t xml:space="preserve"> </w:t>
      </w:r>
      <w:r>
        <w:t xml:space="preserve">WETH) and the same timeless CEX label set. Table </w:t>
      </w:r>
      <w:hyperlink w:anchor="tab:multievent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reports,</w:t>
      </w:r>
      <w:r>
        <w:t xml:space="preserve"> </w:t>
      </w:r>
      <w:r>
        <w:t xml:space="preserve">for each event, the top OC-CoVaR transmitters and the edge-reversal test. Two</w:t>
      </w:r>
      <w:r>
        <w:t xml:space="preserve"> </w:t>
      </w:r>
      <w:r>
        <w:t xml:space="preserve">findings stand out. First, the transmitter rankings are economically sensible in</w:t>
      </w:r>
      <w:r>
        <w:t xml:space="preserve"> </w:t>
      </w:r>
      <w:r>
        <w:t xml:space="preserve">every event: Binance and Coinbase lead in the FTX episode, and the major</w:t>
      </w:r>
      <w:r>
        <w:t xml:space="preserve"> </w:t>
      </w:r>
      <w:r>
        <w:t xml:space="preserve">exchanges lead in the SVB depeg, with no parameter retuning. Second, and</w:t>
      </w:r>
      <w:r>
        <w:t xml:space="preserve"> </w:t>
      </w:r>
      <w:r>
        <w:t xml:space="preserve">importantly for A3, the true-direction graph</w:t>
      </w:r>
      <w:r>
        <w:t xml:space="preserve"> </w:t>
      </w:r>
      <w:r>
        <w:rPr>
          <w:iCs/>
          <w:i/>
        </w:rPr>
        <w:t xml:space="preserve">beats</w:t>
      </w:r>
      <w:r>
        <w:t xml:space="preserve"> </w:t>
      </w:r>
      <w:r>
        <w:t xml:space="preserve">the reversed graph by a</w:t>
      </w:r>
      <w:r>
        <w:t xml:space="preserve"> </w:t>
      </w:r>
      <w:r>
        <w:t xml:space="preserve">clear margin in both earlier events (FTX</w:t>
      </w:r>
      <w:r>
        <w:t xml:space="preserve"> </w:t>
      </w:r>
      <m:oMath>
        <m:r>
          <m:t>1.455</m:t>
        </m:r>
      </m:oMath>
      <w:r>
        <w:t xml:space="preserve"> </w:t>
      </w:r>
      <w:r>
        <w:t xml:space="preserve">vs. </w:t>
      </w:r>
      <m:oMath>
        <m:r>
          <m:t>1.543</m:t>
        </m:r>
      </m:oMath>
      <w:r>
        <w:t xml:space="preserve">; SVB</w:t>
      </w:r>
      <w:r>
        <w:t xml:space="preserve"> </w:t>
      </w:r>
      <m:oMath>
        <m:r>
          <m:t>1.567</m:t>
        </m:r>
      </m:oMath>
      <w:r>
        <w:t xml:space="preserve"> </w:t>
      </w:r>
      <w:r>
        <w:t xml:space="preserve">vs. </w:t>
      </w:r>
      <m:oMath>
        <m:r>
          <m:t>1.610</m:t>
        </m:r>
      </m:oMath>
      <w:r>
        <w:t xml:space="preserve">), in contrast to the near-tie of the custodial-dominated October-2025</w:t>
      </w:r>
      <w:r>
        <w:t xml:space="preserve"> </w:t>
      </w:r>
      <w:r>
        <w:t xml:space="preserve">cascade. Direction therefore does carry causal information when the event’s</w:t>
      </w:r>
      <w:r>
        <w:t xml:space="preserve"> </w:t>
      </w:r>
      <w:r>
        <w:t xml:space="preserve">mechanism is genuinely directional—a contagion spreading outward from a failing</w:t>
      </w:r>
      <w:r>
        <w:t xml:space="preserve"> </w:t>
      </w:r>
      <w:r>
        <w:t xml:space="preserve">venue (FTX) or a depegging asset (USDC)—and is washed out only when the window</w:t>
      </w:r>
      <w:r>
        <w:t xml:space="preserve"> </w:t>
      </w:r>
      <w:r>
        <w:t xml:space="preserve">is dominated by symmetric custodial settlement. This is exactly the</w:t>
      </w:r>
      <w:r>
        <w:t xml:space="preserve"> </w:t>
      </w:r>
      <w:r>
        <w:t xml:space="preserve">event-conditional reading of A3 advanced above, now supported across three</w:t>
      </w:r>
      <w:r>
        <w:t xml:space="preserve"> </w:t>
      </w:r>
      <w:r>
        <w:t xml:space="preserve">independent episodes spanning 2022–2025.</w:t>
      </w:r>
    </w:p>
    <w:bookmarkStart w:id="85" w:name="tab:multievent"/>
    <w:p>
      <w:pPr>
        <w:pStyle w:val="TableCaption"/>
      </w:pPr>
      <w:r>
        <w:t xml:space="preserve">Multi-event validation: top OC-CoVaR transmitters and edge-reversal</w:t>
      </w:r>
      <w:r>
        <w:t xml:space="preserve"> </w:t>
      </w:r>
      <w:r>
        <w:t xml:space="preserve">test across three stress episodes. The true-direction graph wins in the two</w:t>
      </w:r>
      <w:r>
        <w:t xml:space="preserve"> </w:t>
      </w:r>
      <w:r>
        <w:t xml:space="preserve">events with a directional mechanism.</w:t>
      </w:r>
    </w:p>
    <w:tbl>
      <w:tblPr>
        <w:tblStyle w:val="Table"/>
        <w:tblW w:type="pct" w:w="1600"/>
        <w:tblLook w:firstRow="1" w:lastRow="0" w:firstColumn="0" w:lastColumn="0" w:noHBand="0" w:noVBand="0" w:val="0020"/>
        <w:jc w:val="start"/>
        <w:tblCaption w:val="Multi-event validation: top OC-CoVaR transmitters and edge-reversal test across three stress episodes. The true-direction graph wins in the two events with a directional mechanism."/>
      </w:tblPr>
      <w:tblGrid>
        <w:gridCol w:w="0"/>
        <w:gridCol w:w="2534"/>
        <w:gridCol w:w="0"/>
        <w:gridCol w:w="0"/>
        <w:gridCol w:w="0"/>
        <w:gridCol w:w="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transmitters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reversed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symmetric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FTX (Nov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Binance, Coinbase, Crypto.com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1.455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USDC/SVB (Mar 2023)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retail, Bybit, Binance, OKX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 2025 cascade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retail, Binance, Coinbase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near-tie</w:t>
            </w:r>
          </w:p>
        </w:tc>
      </w:tr>
    </w:tbl>
    <w:bookmarkEnd w:id="85"/>
    <w:p>
      <w:pPr>
        <w:pStyle w:val="BodyText"/>
      </w:pPr>
      <w:r>
        <w:t xml:space="preserve">One-step weighted RMSE (lower better);</w:t>
      </w:r>
      <w:r>
        <w:t xml:space="preserve"> </w:t>
      </w:r>
      <w:r>
        <w:t xml:space="preserve">“</w:t>
      </w:r>
      <w:r>
        <w:t xml:space="preserve">direction supported</w:t>
      </w:r>
      <w:r>
        <w:t xml:space="preserve">”</w:t>
      </w:r>
      <w:r>
        <w:t xml:space="preserve"> </w:t>
      </w:r>
      <w:r>
        <w:t xml:space="preserve">when true clearly beats reversed.</w:t>
      </w:r>
    </w:p>
    <w:bookmarkEnd w:id="86"/>
    <w:bookmarkStart w:id="88" w:name="subsec:summary"/>
    <w:p>
      <w:pPr>
        <w:pStyle w:val="Heading2"/>
      </w:pPr>
      <w:r>
        <w:t xml:space="preserve">Backtests, threats to validity, and summary</w:t>
      </w:r>
    </w:p>
    <w:p>
      <w:pPr>
        <w:pStyle w:val="FirstParagraph"/>
      </w:pPr>
      <w:r>
        <w:t xml:space="preserve">As a standard validity check on the risk machinery we backtest a rolling</w:t>
      </w:r>
      <w:r>
        <w:t xml:space="preserve"> </w:t>
      </w:r>
      <w:r>
        <w:t xml:space="preserve">historical VaR on the asset returns. Kupiec unconditional-coverage</w:t>
      </w:r>
      <w:r>
        <w:t xml:space="preserve"> </w:t>
      </w:r>
      <w:r>
        <w:t xml:space="preserve">(1995)</w:t>
      </w:r>
      <w:r>
        <w:t xml:space="preserve"> </w:t>
      </w:r>
      <m:oMath>
        <m:r>
          <m:t>p</m:t>
        </m:r>
      </m:oMath>
      <w:r>
        <w:t xml:space="preserve">-values are</w:t>
      </w:r>
      <w:r>
        <w:t xml:space="preserve"> </w:t>
      </w:r>
      <m:oMath>
        <m:r>
          <m:t>0.24</m:t>
        </m:r>
      </m:oMath>
      <w:r>
        <w:t xml:space="preserve"> </w:t>
      </w:r>
      <w:r>
        <w:t xml:space="preserve">(BTC) and</w:t>
      </w:r>
      <w:r>
        <w:t xml:space="preserve"> </w:t>
      </w:r>
      <m:oMath>
        <m:r>
          <m:t>0.58</m:t>
        </m:r>
      </m:oMath>
      <w:r>
        <w:t xml:space="preserve"> </w:t>
      </w:r>
      <w:r>
        <w:t xml:space="preserve">(ETH) at</w:t>
      </w:r>
      <w:r>
        <w:t xml:space="preserve"> </w:t>
      </w:r>
      <w:r>
        <w:t xml:space="preserve">daily resolution; the Christoffersen conditional-coverage test</w:t>
      </w:r>
      <w:r>
        <w:t xml:space="preserve"> </w:t>
      </w:r>
      <w:r>
        <w:t xml:space="preserve">(1998)</w:t>
      </w:r>
      <w:r>
        <w:t xml:space="preserve"> </w:t>
      </w:r>
      <w:r>
        <w:t xml:space="preserve">passes for BTC (</w:t>
      </w:r>
      <m:oMath>
        <m:r>
          <m:t>p</m:t>
        </m:r>
        <m:r>
          <m:rPr>
            <m:sty m:val="p"/>
          </m:rPr>
          <m:t>=</m:t>
        </m:r>
        <m:r>
          <m:t>0.11</m:t>
        </m:r>
      </m:oMath>
      <w:r>
        <w:t xml:space="preserve">) and flags</w:t>
      </w:r>
      <w:r>
        <w:t xml:space="preserve"> </w:t>
      </w:r>
      <w:r>
        <w:t xml:space="preserve">violation clustering for ETH (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), an honest indication that a simple</w:t>
      </w:r>
      <w:r>
        <w:t xml:space="preserve"> </w:t>
      </w:r>
      <w:r>
        <w:t xml:space="preserve">historical VaR under-models volatility persistence during the regime. Four</w:t>
      </w:r>
      <w:r>
        <w:t xml:space="preserve"> </w:t>
      </w:r>
      <w:r>
        <w:t xml:space="preserve">threats to validity bound the conclusions. Construct validity is addressed by</w:t>
      </w:r>
      <w:r>
        <w:t xml:space="preserve"> </w:t>
      </w:r>
      <w:r>
        <w:t xml:space="preserve">using multiple stress proxies per entity type and showing that rankings are</w:t>
      </w:r>
      <w:r>
        <w:t xml:space="preserve"> </w:t>
      </w:r>
      <w:r>
        <w:t xml:space="preserve">stable across the Tier-0/Tier-3 graphs; internal validity is threatened chiefly</w:t>
      </w:r>
      <w:r>
        <w:t xml:space="preserve"> </w:t>
      </w:r>
      <w:r>
        <w:t xml:space="preserve">by the off-chain CEX engine (A2), which we cannot observe and whose influence the</w:t>
      </w:r>
      <w:r>
        <w:t xml:space="preserve"> </w:t>
      </w:r>
      <w:r>
        <w:t xml:space="preserve">robustness values bound but cannot eliminate; statistical-conclusion validity</w:t>
      </w:r>
      <w:r>
        <w:t xml:space="preserve"> </w:t>
      </w:r>
      <w:r>
        <w:t xml:space="preserve">motivates the move from the under-powered daily window to the hourly window with</w:t>
      </w:r>
      <w:r>
        <w:t xml:space="preserve"> </w:t>
      </w:r>
      <m:oMath>
        <m:r>
          <m:t>816</m:t>
        </m:r>
      </m:oMath>
      <w:r>
        <w:t xml:space="preserve"> </w:t>
      </w:r>
      <w:r>
        <w:t xml:space="preserve">predictions; and external validity, limited by a single event, is</w:t>
      </w:r>
      <w:r>
        <w:t xml:space="preserve"> </w:t>
      </w:r>
      <w:r>
        <w:t xml:space="preserve">partially addressed by the agreement with the documented narrative and flagged</w:t>
      </w:r>
      <w:r>
        <w:t xml:space="preserve"> </w:t>
      </w:r>
      <w:r>
        <w:t xml:space="preserve">as the principal direction for future work. Overall, as Table </w:t>
      </w:r>
      <w:hyperlink w:anchor="tab:summary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records, the counterfactual-attribution and directional-causality</w:t>
      </w:r>
      <w:r>
        <w:t xml:space="preserve"> </w:t>
      </w:r>
      <w:r>
        <w:t xml:space="preserve">hypotheses (H2a, H2b, H3, H4, H5) are supported, H1 is at best suggestive,</w:t>
      </w:r>
      <w:r>
        <w:t xml:space="preserve"> </w:t>
      </w:r>
      <w:r>
        <w:t xml:space="preserve">and the apparent custodial symmetry (H2a) is itself informative: it tells us</w:t>
      </w:r>
      <w:r>
        <w:t xml:space="preserve"> </w:t>
      </w:r>
      <w:r>
        <w:t xml:space="preserve">that during a deposit-driven cascade the systemic signal lives in</w:t>
      </w:r>
      <w:r>
        <w:t xml:space="preserve"> </w:t>
      </w:r>
      <w:r>
        <w:t xml:space="preserve">connectivity rather than in any single flow direction, whereas the</w:t>
      </w:r>
      <w:r>
        <w:t xml:space="preserve"> </w:t>
      </w:r>
      <w:r>
        <w:t xml:space="preserve">leakage-free non-flow stress (H2b) recovers a clear</w:t>
      </w:r>
      <w: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true-over-reversed</w:t>
      </w:r>
      <w:r>
        <w:t xml:space="preserve"> </w:t>
      </w:r>
      <w:r>
        <w:t xml:space="preserve">margin. The primary contribution is therefore the verifiable counterfactual</w:t>
      </w:r>
      <w:r>
        <w:t xml:space="preserve"> </w:t>
      </w:r>
      <w:r>
        <w:t xml:space="preserve">attribution layer; one-step predictive improvement is a secondary ablation.</w:t>
      </w:r>
    </w:p>
    <w:bookmarkStart w:id="87" w:name="tab:summary"/>
    <w:p>
      <w:pPr>
        <w:pStyle w:val="TableCaption"/>
      </w:pPr>
      <w:r>
        <w:t xml:space="preserve">Hypothesis verdicts at hourly resolution.</w:t>
      </w:r>
    </w:p>
    <w:tbl>
      <w:tblPr>
        <w:tblStyle w:val="Table"/>
        <w:tblW w:type="pct" w:w="2500"/>
        <w:tblLook w:firstRow="1" w:lastRow="0" w:firstColumn="0" w:lastColumn="0" w:noHBand="0" w:noVBand="0" w:val="0020"/>
        <w:jc w:val="start"/>
        <w:tblCaption w:val="Hypothesis verdicts at hourly resolution."/>
      </w:tblPr>
      <w:tblGrid>
        <w:gridCol w:w="0"/>
        <w:gridCol w:w="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  <w:r>
              <w:t xml:space="preserve"> </w:t>
            </w:r>
            <m:oMath>
              <m:r>
                <m:t>1.2529</m:t>
              </m:r>
              <m:r>
                <m:rPr>
                  <m:sty m:val="p"/>
                </m:rPr>
                <m:t>&lt;</m:t>
              </m:r>
              <m:r>
                <m:t>1.2568</m:t>
              </m:r>
            </m:oMath>
            <w:r>
              <w:t xml:space="preserve"> </w:t>
            </w:r>
            <w:r>
              <w:t xml:space="preserve">(Granger) hourly, but CI spans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not robust to lagged-flow / price-target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Oct-2025 custodial cascade: true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reversed (within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%</m:t>
              </m:r>
            </m:oMath>
            <w:r>
              <w:t xml:space="preserve">); connectivity, not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FTX and USDC/SVB: true clearly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reversed;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on leakage-free non-flow target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vs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CoVaR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0.52</m:t>
              </m:r>
            </m:oMath>
            <w:r>
              <w:t xml:space="preserve">; ranking stable (Spearman</w:t>
            </w:r>
            <w:r>
              <w:t xml:space="preserve"> </w:t>
            </w:r>
            <m:oMath>
              <m:r>
                <m:t>0.88</m:t>
              </m:r>
            </m:oMath>
            <w:r>
              <w:t xml:space="preserve"> </w:t>
            </w:r>
            <w:r>
              <w:t xml:space="preserve">under perturbation)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Shapley-exact decomposition; Binance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Bybit</w:t>
            </w:r>
            <w:r>
              <w:t xml:space="preserve"> </w:t>
            </w:r>
            <m:oMath>
              <m:r>
                <m:t>98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(100% positive under perturbation)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composability edges carry attribution (Ethena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Aave</w:t>
            </w:r>
            <w:r>
              <w:t xml:space="preserve"> </w:t>
            </w:r>
            <m:oMath>
              <m:r>
                <m:t>11.3</m:t>
              </m:r>
              <m:r>
                <m:rPr>
                  <m:sty m:val="p"/>
                </m:rPr>
                <m:t>%</m:t>
              </m:r>
            </m:oMath>
            <w:r>
              <w:t xml:space="preserve">, daily)</w:t>
            </w:r>
          </w:p>
        </w:tc>
      </w:tr>
    </w:tbl>
    <w:bookmarkEnd w:id="87"/>
    <w:bookmarkEnd w:id="88"/>
    <w:bookmarkEnd w:id="89"/>
    <w:bookmarkStart w:id="90" w:name="sec:discussion"/>
    <w:p>
      <w:pPr>
        <w:pStyle w:val="Heading1"/>
      </w:pPr>
      <w:r>
        <w:t xml:space="preserve">Discussion and Conclusion</w:t>
      </w:r>
    </w:p>
    <w:p>
      <w:pPr>
        <w:pStyle w:val="FirstParagraph"/>
      </w:pPr>
      <w:r>
        <w:t xml:space="preserve">On real on-chain data spanning three stress episodes (2022–2025), treating the</w:t>
      </w:r>
      <w:r>
        <w:t xml:space="preserve"> </w:t>
      </w:r>
      <w:r>
        <w:t xml:space="preserve">observed transaction graph as a structural causal model yields a</w:t>
      </w:r>
      <w:r>
        <w:t xml:space="preserve"> </w:t>
      </w:r>
      <w:r>
        <w:t xml:space="preserve">systemic-importance ranking that is materially different from price-based</w:t>
      </w:r>
      <w:r>
        <w:t xml:space="preserve"> </w:t>
      </w:r>
      <w:r>
        <w:t xml:space="preserve">measures and that matches the documented event narratives; an exact,</w:t>
      </w:r>
      <w:r>
        <w:t xml:space="preserve"> </w:t>
      </w:r>
      <w:r>
        <w:t xml:space="preserve">order-robust counterfactual loss attribution decomposing realised distress into</w:t>
      </w:r>
      <w:r>
        <w:t xml:space="preserve"> </w:t>
      </w:r>
      <w:r>
        <w:t xml:space="preserve">named inter-entity channels; and a graph that, at the cascade’s native hourly</w:t>
      </w:r>
      <w:r>
        <w:t xml:space="preserve"> </w:t>
      </w:r>
      <w:r>
        <w:t xml:space="preserve">resolution, predicts the October-2025 event competitively with—and weakly</w:t>
      </w:r>
      <w:r>
        <w:t xml:space="preserve"> </w:t>
      </w:r>
      <w:r>
        <w:t xml:space="preserve">better than—the estimated-graph state of the art, an advantage we quantify</w:t>
      </w:r>
      <w:r>
        <w:t xml:space="preserve"> </w:t>
      </w:r>
      <w:r>
        <w:t xml:space="preserve">with a paired bootstrap rather than assert. The framework passes placebo,</w:t>
      </w:r>
      <w:r>
        <w:t xml:space="preserve"> </w:t>
      </w:r>
      <w:r>
        <w:t xml:space="preserve">resolution-robustness (including retail-node removal), external-validity, and</w:t>
      </w:r>
      <w:r>
        <w:t xml:space="preserve"> </w:t>
      </w:r>
      <w:r>
        <w:t xml:space="preserve">confounding-sensitivity checks. The most nuanced finding concerns the</w:t>
      </w:r>
      <w:r>
        <w:t xml:space="preserve"> </w:t>
      </w:r>
      <w:r>
        <w:t xml:space="preserve">directional assumption A3. Rather than holding or failing globally, its support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event- and edge-type-conditional</w:t>
      </w:r>
      <w:r>
        <w:t xml:space="preserve">: edge reversal clearly degrades</w:t>
      </w:r>
      <w:r>
        <w:t xml:space="preserve"> </w:t>
      </w:r>
      <w:r>
        <w:t xml:space="preserve">prediction in the FTX (2022) and USDC/SVB (2023) episodes, whose contagion</w:t>
      </w:r>
      <w:r>
        <w:t xml:space="preserve"> </w:t>
      </w:r>
      <w:r>
        <w:t xml:space="preserve">spreads outward from a failing venue or a depegging asset, but not in the</w:t>
      </w:r>
      <w:r>
        <w:t xml:space="preserve"> </w:t>
      </w:r>
      <w:r>
        <w:t xml:space="preserve">October-2025 cascade, which is dominated by symmetric custodial exchange flows</w:t>
      </w:r>
      <w:r>
        <w:t xml:space="preserve"> </w:t>
      </w:r>
      <w:r>
        <w:t xml:space="preserve">on which direction has little to bite. VEIN should therefore claim directed</w:t>
      </w:r>
      <w:r>
        <w:t xml:space="preserve"> </w:t>
      </w:r>
      <w:r>
        <w:t xml:space="preserve">causal content where the mechanism is genuinely directional—the collateral and</w:t>
      </w:r>
      <w:r>
        <w:t xml:space="preserve"> </w:t>
      </w:r>
      <w:r>
        <w:t xml:space="preserve">composability links emphasised in the recent TradFi–DeFi crosstagion literature</w:t>
      </w:r>
      <w:r>
        <w:t xml:space="preserve"> </w:t>
      </w:r>
      <w:r>
        <w:t xml:space="preserve">(Aufiero et al. 2025)</w:t>
      </w:r>
      <w:r>
        <w:t xml:space="preserve">, and the outward propagation from a stressed</w:t>
      </w:r>
      <w:r>
        <w:t xml:space="preserve"> </w:t>
      </w:r>
      <w:r>
        <w:t xml:space="preserve">hub—and fall back to connectivity-level claims for symmetric settlement flows.</w:t>
      </w:r>
      <w:r>
        <w:t xml:space="preserve"> </w:t>
      </w:r>
      <w:r>
        <w:t xml:space="preserve">This conditional reading, delivered by the falsification machinery rather than</w:t>
      </w:r>
      <w:r>
        <w:t xml:space="preserve"> </w:t>
      </w:r>
      <w:r>
        <w:t xml:space="preserve">assumed, is both sharper and more defensible than a blanket directional claim.</w:t>
      </w:r>
    </w:p>
    <w:p>
      <w:pPr>
        <w:pStyle w:val="BodyText"/>
      </w:pPr>
      <w:r>
        <w:t xml:space="preserve">Three limitations bound these conclusions. First, CEX opacity: the proximate</w:t>
      </w:r>
      <w:r>
        <w:t xml:space="preserve"> </w:t>
      </w:r>
      <w:r>
        <w:t xml:space="preserve">cause of the cascade—an exchange’s internal pricing engine—is off-chain by</w:t>
      </w:r>
      <w:r>
        <w:t xml:space="preserve"> </w:t>
      </w:r>
      <w:r>
        <w:t xml:space="preserve">construction, so VEIN observes only its downstream on-chain settlement and treats</w:t>
      </w:r>
      <w:r>
        <w:t xml:space="preserve"> </w:t>
      </w:r>
      <w:r>
        <w:t xml:space="preserve">the engine as an exogenous shock; this is the dominant threat to A2, which the</w:t>
      </w:r>
      <w:r>
        <w:t xml:space="preserve"> </w:t>
      </w:r>
      <w:r>
        <w:t xml:space="preserve">robustness values bound but cannot eliminate. Second, event coverage: although</w:t>
      </w:r>
      <w:r>
        <w:t xml:space="preserve"> </w:t>
      </w:r>
      <w:r>
        <w:t xml:space="preserve">we validate across three episodes (2022–2025), broader generalisation across</w:t>
      </w:r>
      <w:r>
        <w:t xml:space="preserve"> </w:t>
      </w:r>
      <w:r>
        <w:t xml:space="preserve">many regimes and a wider entity universe remains future work. Third, resolution</w:t>
      </w:r>
      <w:r>
        <w:t xml:space="preserve"> </w:t>
      </w:r>
      <w:r>
        <w:t xml:space="preserve">recall: residual unlabelled addresses collapse into the retail node, so the</w:t>
      </w:r>
      <w:r>
        <w:t xml:space="preserve"> </w:t>
      </w:r>
      <w:r>
        <w:t xml:space="preserve">inter-entity graph is high-precision but recall-bounded by label</w:t>
      </w:r>
      <w:r>
        <w:t xml:space="preserve"> </w:t>
      </w:r>
      <w:r>
        <w:t xml:space="preserve">coverage—only about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of flow volume currently moves directly between two</w:t>
      </w:r>
      <w:r>
        <w:t xml:space="preserve"> </w:t>
      </w:r>
      <w:r>
        <w:t xml:space="preserve">named entities—an improvement frontier the Tier-0/1/2 layers are designed to</w:t>
      </w:r>
      <w:r>
        <w:t xml:space="preserve"> </w:t>
      </w:r>
      <w:r>
        <w:t xml:space="preserve">push. For supervisors, VEIN nonetheless</w:t>
      </w:r>
      <w:r>
        <w:t xml:space="preserve"> </w:t>
      </w:r>
      <w:r>
        <w:t xml:space="preserve">offers two practitioner-facing artefacts that price-based measures cannot: a</w:t>
      </w:r>
      <w:r>
        <w:t xml:space="preserve"> </w:t>
      </w:r>
      <w:r>
        <w:t xml:space="preserve">ranking of which on-chain entities export versus absorb systemic stress, and a</w:t>
      </w:r>
      <w:r>
        <w:t xml:space="preserve"> </w:t>
      </w:r>
      <w:r>
        <w:t xml:space="preserve">counterfactual statement of what a specific entity’s distress contributed to</w:t>
      </w:r>
      <w:r>
        <w:t xml:space="preserve"> </w:t>
      </w:r>
      <w:r>
        <w:t xml:space="preserve">others’ losses—directly relevant to stress-test attribution and to</w:t>
      </w:r>
      <w:r>
        <w:t xml:space="preserve"> </w:t>
      </w:r>
      <w:r>
        <w:t xml:space="preserve">protocol-level composability-risk assessment, and, because the inputs are public</w:t>
      </w:r>
      <w:r>
        <w:t xml:space="preserve"> </w:t>
      </w:r>
      <w:r>
        <w:t xml:space="preserve">ledger data, auditable and reproducible by any party. The most decisive next</w:t>
      </w:r>
      <w:r>
        <w:t xml:space="preserve"> </w:t>
      </w:r>
      <w:r>
        <w:t xml:space="preserve">steps are intraday (sub-minute) analysis across several stress events, which</w:t>
      </w:r>
      <w:r>
        <w:t xml:space="preserve"> </w:t>
      </w:r>
      <w:r>
        <w:t xml:space="preserve">would give the falsification test the power to localise where, if anywhere,</w:t>
      </w:r>
      <w:r>
        <w:t xml:space="preserve"> </w:t>
      </w:r>
      <w:r>
        <w:t xml:space="preserve">direction is causal; a fuller Tier-1/2 entity-resolution sweep to convert</w:t>
      </w:r>
      <w:r>
        <w:t xml:space="preserve"> </w:t>
      </w:r>
      <w:r>
        <w:t xml:space="preserve">retail-mediated edges into entity-to-entity edges; and an instrumented treatment</w:t>
      </w:r>
      <w:r>
        <w:t xml:space="preserve"> </w:t>
      </w:r>
      <w:r>
        <w:t xml:space="preserve">of the CEX engine (for instance, exploiting exogenous oracle-update timing) to</w:t>
      </w:r>
      <w:r>
        <w:t xml:space="preserve"> </w:t>
      </w:r>
      <w:r>
        <w:t xml:space="preserve">relax A2. In sum, VEIN demonstrates that the blockchain ledger can serve as an</w:t>
      </w:r>
      <w:r>
        <w:t xml:space="preserve"> </w:t>
      </w:r>
      <w:r>
        <w:rPr>
          <w:iCs/>
          <w:i/>
        </w:rPr>
        <w:t xml:space="preserve">auditable candidate structural skeleton</w:t>
      </w:r>
      <w:r>
        <w:t xml:space="preserve"> </w:t>
      </w:r>
      <w:r>
        <w:t xml:space="preserve">for interventional and</w:t>
      </w:r>
      <w:r>
        <w:t xml:space="preserve"> </w:t>
      </w:r>
      <w:r>
        <w:t xml:space="preserve">counterfactual systemic-risk attribution, enabling analyses out of reach for</w:t>
      </w:r>
      <w:r>
        <w:t xml:space="preserve"> </w:t>
      </w:r>
      <w:r>
        <w:t xml:space="preserve">price-based methods, while being candid that its empirical edge over the</w:t>
      </w:r>
      <w:r>
        <w:t xml:space="preserve"> </w:t>
      </w:r>
      <w:r>
        <w:t xml:space="preserve">estimated-graph baseline on the primary October-2025 event study—with</w:t>
      </w:r>
      <w:r>
        <w:t xml:space="preserve"> </w:t>
      </w:r>
      <w:r>
        <w:t xml:space="preserve">additional checks on the two earlier stress episodes—is real but</w:t>
      </w:r>
      <w:r>
        <w:t xml:space="preserve"> </w:t>
      </w:r>
      <w:r>
        <w:t xml:space="preserve">resolution-dependent and not decisive. Whether that edge widens with intraday</w:t>
      </w:r>
      <w:r>
        <w:t xml:space="preserve"> </w:t>
      </w:r>
      <w:r>
        <w:t xml:space="preserve">data, fuller entity resolution, and more events is a question for future work</w:t>
      </w:r>
      <w:r>
        <w:t xml:space="preserve"> </w:t>
      </w:r>
      <w:r>
        <w:t xml:space="preserve">to answer, not a result this paper claims.</w:t>
      </w:r>
    </w:p>
    <w:bookmarkEnd w:id="90"/>
    <w:bookmarkStart w:id="91" w:name="list-of-abbreviations"/>
    <w:p>
      <w:pPr>
        <w:pStyle w:val="Heading1"/>
      </w:pPr>
      <w:r>
        <w:t xml:space="preserve">List of abbreviations</w:t>
      </w:r>
    </w:p>
    <w:p>
      <w:pPr>
        <w:pStyle w:val="DefinitionTerm"/>
      </w:pPr>
      <w:r>
        <w:t xml:space="preserve">AR</w:t>
      </w:r>
    </w:p>
    <w:p>
      <w:pPr>
        <w:pStyle w:val="Definition"/>
      </w:pPr>
      <w:r>
        <w:t xml:space="preserve">Autoregressive</w:t>
      </w:r>
    </w:p>
    <w:p>
      <w:pPr>
        <w:pStyle w:val="DefinitionTerm"/>
      </w:pPr>
      <w:r>
        <w:t xml:space="preserve">API</w:t>
      </w:r>
    </w:p>
    <w:p>
      <w:pPr>
        <w:pStyle w:val="Definition"/>
      </w:pPr>
      <w:r>
        <w:t xml:space="preserve">Application programming interface</w:t>
      </w:r>
    </w:p>
    <w:p>
      <w:pPr>
        <w:pStyle w:val="DefinitionTerm"/>
      </w:pPr>
      <w:r>
        <w:t xml:space="preserve">ASRI</w:t>
      </w:r>
    </w:p>
    <w:p>
      <w:pPr>
        <w:pStyle w:val="Definition"/>
      </w:pPr>
      <w:r>
        <w:t xml:space="preserve">Aggregated Systemic Risk Index</w:t>
      </w:r>
      <w:r>
        <w:t xml:space="preserve"> </w:t>
      </w:r>
      <w:r>
        <w:t xml:space="preserve">(Farzulla and Maksakov 2026)</w:t>
      </w:r>
    </w:p>
    <w:p>
      <w:pPr>
        <w:pStyle w:val="DefinitionTerm"/>
      </w:pPr>
      <w:r>
        <w:t xml:space="preserve">BTC</w:t>
      </w:r>
    </w:p>
    <w:p>
      <w:pPr>
        <w:pStyle w:val="Definition"/>
      </w:pPr>
      <w:r>
        <w:t xml:space="preserve">Bitcoin</w:t>
      </w:r>
    </w:p>
    <w:p>
      <w:pPr>
        <w:pStyle w:val="DefinitionTerm"/>
      </w:pPr>
      <w:r>
        <w:t xml:space="preserve">CEX</w:t>
      </w:r>
    </w:p>
    <w:p>
      <w:pPr>
        <w:pStyle w:val="Definition"/>
      </w:pPr>
      <w:r>
        <w:t xml:space="preserve">Centralised exchange</w:t>
      </w:r>
    </w:p>
    <w:p>
      <w:pPr>
        <w:pStyle w:val="DefinitionTerm"/>
      </w:pPr>
      <w:r>
        <w:t xml:space="preserve">CF</w:t>
      </w:r>
    </w:p>
    <w:p>
      <w:pPr>
        <w:pStyle w:val="Definition"/>
      </w:pPr>
      <w:r>
        <w:t xml:space="preserve">Counterfactual (as in</w:t>
      </w:r>
      <w:r>
        <w:t xml:space="preserve"> </w:t>
      </w:r>
      <m:oMath>
        <m:sSubSup>
          <m:e>
            <m:r>
              <m:t>Δ</m:t>
            </m:r>
          </m:e>
          <m:sub>
            <m:r>
              <m:t>i</m:t>
            </m:r>
          </m:sub>
          <m:sup>
            <m:r>
              <m:t>C</m:t>
            </m:r>
            <m:r>
              <m:t>F</m:t>
            </m:r>
          </m:sup>
        </m:sSubSup>
      </m:oMath>
      <w:r>
        <w:t xml:space="preserve">)</w:t>
      </w:r>
    </w:p>
    <w:p>
      <w:pPr>
        <w:pStyle w:val="DefinitionTerm"/>
      </w:pPr>
      <w:r>
        <w:t xml:space="preserve">CI</w:t>
      </w:r>
    </w:p>
    <w:p>
      <w:pPr>
        <w:pStyle w:val="Definition"/>
      </w:pPr>
      <w:r>
        <w:t xml:space="preserve">Confidence interval</w:t>
      </w:r>
    </w:p>
    <w:p>
      <w:pPr>
        <w:pStyle w:val="DefinitionTerm"/>
      </w:pPr>
      <w:r>
        <w:t xml:space="preserve">CoVaR</w:t>
      </w:r>
    </w:p>
    <w:p>
      <w:pPr>
        <w:pStyle w:val="Definition"/>
      </w:pPr>
      <w:r>
        <w:t xml:space="preserve">Conditional Value-at-Risk</w:t>
      </w:r>
    </w:p>
    <w:p>
      <w:pPr>
        <w:pStyle w:val="DefinitionTerm"/>
      </w:pPr>
      <w:r>
        <w:t xml:space="preserve">DeFi</w:t>
      </w:r>
    </w:p>
    <w:p>
      <w:pPr>
        <w:pStyle w:val="Definition"/>
      </w:pPr>
      <w:r>
        <w:t xml:space="preserve">Decentralised finance</w:t>
      </w:r>
    </w:p>
    <w:p>
      <w:pPr>
        <w:pStyle w:val="DefinitionTerm"/>
      </w:pPr>
      <w:r>
        <w:t xml:space="preserve">ERC-20</w:t>
      </w:r>
    </w:p>
    <w:p>
      <w:pPr>
        <w:pStyle w:val="Definition"/>
      </w:pPr>
      <w:r>
        <w:t xml:space="preserve">Ethereum token standard (Ethereum Request for Comments 20)</w:t>
      </w:r>
    </w:p>
    <w:p>
      <w:pPr>
        <w:pStyle w:val="DefinitionTerm"/>
      </w:pPr>
      <w:r>
        <w:t xml:space="preserve">ETH</w:t>
      </w:r>
    </w:p>
    <w:p>
      <w:pPr>
        <w:pStyle w:val="Definition"/>
      </w:pPr>
      <w:r>
        <w:t xml:space="preserve">Ether, the native asset of the Ethereum blockchain</w:t>
      </w:r>
    </w:p>
    <w:p>
      <w:pPr>
        <w:pStyle w:val="DefinitionTerm"/>
      </w:pPr>
      <w:r>
        <w:t xml:space="preserve">FX</w:t>
      </w:r>
    </w:p>
    <w:p>
      <w:pPr>
        <w:pStyle w:val="Definition"/>
      </w:pPr>
      <w:r>
        <w:t xml:space="preserve">Foreign exchange</w:t>
      </w:r>
    </w:p>
    <w:p>
      <w:pPr>
        <w:pStyle w:val="DefinitionTerm"/>
      </w:pPr>
      <w:r>
        <w:t xml:space="preserve">JEL</w:t>
      </w:r>
    </w:p>
    <w:p>
      <w:pPr>
        <w:pStyle w:val="Definition"/>
      </w:pPr>
      <w:r>
        <w:t xml:space="preserve">Journal of Economic Literature (classification codes)</w:t>
      </w:r>
    </w:p>
    <w:p>
      <w:pPr>
        <w:pStyle w:val="DefinitionTerm"/>
      </w:pPr>
      <w:r>
        <w:t xml:space="preserve">MES</w:t>
      </w:r>
    </w:p>
    <w:p>
      <w:pPr>
        <w:pStyle w:val="Definition"/>
      </w:pPr>
      <w:r>
        <w:t xml:space="preserve">Marginal expected shortfall</w:t>
      </w:r>
    </w:p>
    <w:p>
      <w:pPr>
        <w:pStyle w:val="DefinitionTerm"/>
      </w:pPr>
      <w:r>
        <w:t xml:space="preserve">NECO VaR</w:t>
      </w:r>
    </w:p>
    <w:p>
      <w:pPr>
        <w:pStyle w:val="Definition"/>
      </w:pPr>
      <w:r>
        <w:t xml:space="preserve">Network-contagion Value-at-Risk method of</w:t>
      </w:r>
      <w:r>
        <w:t xml:space="preserve"> </w:t>
      </w:r>
      <w:r>
        <w:t xml:space="preserve">Rigana, Wit, and Cook (2024)</w:t>
      </w:r>
    </w:p>
    <w:p>
      <w:pPr>
        <w:pStyle w:val="DefinitionTerm"/>
      </w:pPr>
      <w:r>
        <w:t xml:space="preserve">OC-CoVaR</w:t>
      </w:r>
    </w:p>
    <w:p>
      <w:pPr>
        <w:pStyle w:val="Definition"/>
      </w:pPr>
      <w:r>
        <w:t xml:space="preserve">On-Chain Causal CoVaR (this paper’s interventional risk measure)</w:t>
      </w:r>
    </w:p>
    <w:p>
      <w:pPr>
        <w:pStyle w:val="DefinitionTerm"/>
      </w:pPr>
      <w:r>
        <w:t xml:space="preserve">OLS</w:t>
      </w:r>
    </w:p>
    <w:p>
      <w:pPr>
        <w:pStyle w:val="Definition"/>
      </w:pPr>
      <w:r>
        <w:t xml:space="preserve">Ordinary least squares</w:t>
      </w:r>
    </w:p>
    <w:p>
      <w:pPr>
        <w:pStyle w:val="DefinitionTerm"/>
      </w:pPr>
      <w:r>
        <w:t xml:space="preserve">PC-stable</w:t>
      </w:r>
    </w:p>
    <w:p>
      <w:pPr>
        <w:pStyle w:val="Definition"/>
      </w:pPr>
      <w:r>
        <w:t xml:space="preserve">Order-independent variant of the PC constraint-based causal-structure-discovery algorithm</w:t>
      </w:r>
      <w:r>
        <w:t xml:space="preserve"> </w:t>
      </w:r>
      <w:r>
        <w:t xml:space="preserve">(Colombo and Maathuis 2014)</w:t>
      </w:r>
    </w:p>
    <w:p>
      <w:pPr>
        <w:pStyle w:val="DefinitionTerm"/>
      </w:pPr>
      <w:r>
        <w:t xml:space="preserve">RMSE</w:t>
      </w:r>
    </w:p>
    <w:p>
      <w:pPr>
        <w:pStyle w:val="Definition"/>
      </w:pPr>
      <w:r>
        <w:t xml:space="preserve">Root-mean-square error</w:t>
      </w:r>
    </w:p>
    <w:p>
      <w:pPr>
        <w:pStyle w:val="DefinitionTerm"/>
      </w:pPr>
      <w:r>
        <w:t xml:space="preserve">ROC-AUC</w:t>
      </w:r>
    </w:p>
    <w:p>
      <w:pPr>
        <w:pStyle w:val="Definition"/>
      </w:pPr>
      <w:r>
        <w:t xml:space="preserve">Area under the receiver-operating-characteristic curve</w:t>
      </w:r>
    </w:p>
    <w:p>
      <w:pPr>
        <w:pStyle w:val="DefinitionTerm"/>
      </w:pPr>
      <w:r>
        <w:t xml:space="preserve">RV</w:t>
      </w:r>
    </w:p>
    <w:p>
      <w:pPr>
        <w:pStyle w:val="Definition"/>
      </w:pPr>
      <w:r>
        <w:t xml:space="preserve">Robustness value</w:t>
      </w:r>
      <w:r>
        <w:t xml:space="preserve"> </w:t>
      </w:r>
      <w:r>
        <w:t xml:space="preserve">(Cinelli and Hazlett 2020)</w:t>
      </w:r>
    </w:p>
    <w:p>
      <w:pPr>
        <w:pStyle w:val="DefinitionTerm"/>
      </w:pPr>
      <w:r>
        <w:t xml:space="preserve">SCM</w:t>
      </w:r>
    </w:p>
    <w:p>
      <w:pPr>
        <w:pStyle w:val="Definition"/>
      </w:pPr>
      <w:r>
        <w:t xml:space="preserve">Structural causal model</w:t>
      </w:r>
    </w:p>
    <w:p>
      <w:pPr>
        <w:pStyle w:val="DefinitionTerm"/>
      </w:pPr>
      <w:r>
        <w:t xml:space="preserve">SQL</w:t>
      </w:r>
    </w:p>
    <w:p>
      <w:pPr>
        <w:pStyle w:val="Definition"/>
      </w:pPr>
      <w:r>
        <w:t xml:space="preserve">Structured Query Language</w:t>
      </w:r>
    </w:p>
    <w:p>
      <w:pPr>
        <w:pStyle w:val="DefinitionTerm"/>
      </w:pPr>
      <w:r>
        <w:t xml:space="preserve">SRISK</w:t>
      </w:r>
    </w:p>
    <w:p>
      <w:pPr>
        <w:pStyle w:val="Definition"/>
      </w:pPr>
      <w:r>
        <w:t xml:space="preserve">Systemic risk capital-shortfall measure of</w:t>
      </w:r>
      <w:r>
        <w:t xml:space="preserve"> </w:t>
      </w:r>
      <w:r>
        <w:t xml:space="preserve">Acharya et al. (2017)</w:t>
      </w:r>
    </w:p>
    <w:p>
      <w:pPr>
        <w:pStyle w:val="DefinitionTerm"/>
      </w:pPr>
      <w:r>
        <w:t xml:space="preserve">SVB</w:t>
      </w:r>
    </w:p>
    <w:p>
      <w:pPr>
        <w:pStyle w:val="Definition"/>
      </w:pPr>
      <w:r>
        <w:t xml:space="preserve">Silicon Valley Bank</w:t>
      </w:r>
    </w:p>
    <w:p>
      <w:pPr>
        <w:pStyle w:val="DefinitionTerm"/>
      </w:pPr>
      <w:r>
        <w:t xml:space="preserve">SVD</w:t>
      </w:r>
    </w:p>
    <w:p>
      <w:pPr>
        <w:pStyle w:val="Definition"/>
      </w:pPr>
      <w:r>
        <w:t xml:space="preserve">Singular-value decomposition</w:t>
      </w:r>
    </w:p>
    <w:p>
      <w:pPr>
        <w:pStyle w:val="DefinitionTerm"/>
      </w:pPr>
      <w:r>
        <w:t xml:space="preserve">TVL</w:t>
      </w:r>
    </w:p>
    <w:p>
      <w:pPr>
        <w:pStyle w:val="Definition"/>
      </w:pPr>
      <w:r>
        <w:t xml:space="preserve">Total value locked</w:t>
      </w:r>
    </w:p>
    <w:p>
      <w:pPr>
        <w:pStyle w:val="DefinitionTerm"/>
      </w:pPr>
      <w:r>
        <w:t xml:space="preserve">TV-DIG</w:t>
      </w:r>
    </w:p>
    <w:p>
      <w:pPr>
        <w:pStyle w:val="Definition"/>
      </w:pPr>
      <w:r>
        <w:t xml:space="preserve">Time-varying directed-information graph</w:t>
      </w:r>
      <w:r>
        <w:t xml:space="preserve"> </w:t>
      </w:r>
      <w:r>
        <w:t xml:space="preserve">(Etesami, Habibnia, and Kiyavash 2023)</w:t>
      </w:r>
    </w:p>
    <w:p>
      <w:pPr>
        <w:pStyle w:val="DefinitionTerm"/>
      </w:pPr>
      <w:r>
        <w:t xml:space="preserve">USDC</w:t>
      </w:r>
    </w:p>
    <w:p>
      <w:pPr>
        <w:pStyle w:val="Definition"/>
      </w:pPr>
      <w:r>
        <w:t xml:space="preserve">USD Coin (a fiat-backed stablecoin)</w:t>
      </w:r>
    </w:p>
    <w:p>
      <w:pPr>
        <w:pStyle w:val="DefinitionTerm"/>
      </w:pPr>
      <w:r>
        <w:t xml:space="preserve">USDe</w:t>
      </w:r>
    </w:p>
    <w:p>
      <w:pPr>
        <w:pStyle w:val="Definition"/>
      </w:pPr>
      <w:r>
        <w:t xml:space="preserve">Ethena’s synthetic dollar</w:t>
      </w:r>
    </w:p>
    <w:p>
      <w:pPr>
        <w:pStyle w:val="DefinitionTerm"/>
      </w:pPr>
      <w:r>
        <w:t xml:space="preserve">USDT</w:t>
      </w:r>
    </w:p>
    <w:p>
      <w:pPr>
        <w:pStyle w:val="Definition"/>
      </w:pPr>
      <w:r>
        <w:t xml:space="preserve">Tether (a fiat-backed stablecoin)</w:t>
      </w:r>
    </w:p>
    <w:p>
      <w:pPr>
        <w:pStyle w:val="DefinitionTerm"/>
      </w:pPr>
      <w:r>
        <w:t xml:space="preserve">VaR</w:t>
      </w:r>
    </w:p>
    <w:p>
      <w:pPr>
        <w:pStyle w:val="Definition"/>
      </w:pPr>
      <w:r>
        <w:t xml:space="preserve">Value-at-Risk</w:t>
      </w:r>
    </w:p>
    <w:p>
      <w:pPr>
        <w:pStyle w:val="DefinitionTerm"/>
      </w:pPr>
      <w:r>
        <w:t xml:space="preserve">wBETH</w:t>
      </w:r>
    </w:p>
    <w:p>
      <w:pPr>
        <w:pStyle w:val="Definition"/>
      </w:pPr>
      <w:r>
        <w:t xml:space="preserve">Wrapped Beacon ETH, a Binance liquid-staking token</w:t>
      </w:r>
    </w:p>
    <w:p>
      <w:pPr>
        <w:pStyle w:val="DefinitionTerm"/>
      </w:pPr>
      <w:r>
        <w:t xml:space="preserve">WETH</w:t>
      </w:r>
    </w:p>
    <w:p>
      <w:pPr>
        <w:pStyle w:val="Definition"/>
      </w:pPr>
      <w:r>
        <w:t xml:space="preserve">Wrapped Ether</w:t>
      </w:r>
    </w:p>
    <w:p>
      <w:pPr>
        <w:pStyle w:val="FirstParagraph"/>
      </w:pPr>
      <w:r>
        <w:rPr>
          <w:iCs/>
          <w:i/>
        </w:rPr>
        <w:t xml:space="preserve">Declarations (Ethics approval, Consent, Availability of supporting</w:t>
      </w:r>
      <w:r>
        <w:rPr>
          <w:iCs/>
          <w:i/>
        </w:rPr>
        <w:t xml:space="preserve"> </w:t>
      </w:r>
      <w:r>
        <w:rPr>
          <w:iCs/>
          <w:i/>
        </w:rPr>
        <w:t xml:space="preserve">data, Competing interests, Funding, Authors’ contributions, and</w:t>
      </w:r>
      <w:r>
        <w:rPr>
          <w:iCs/>
          <w:i/>
        </w:rPr>
        <w:t xml:space="preserve"> </w:t>
      </w:r>
      <w:r>
        <w:rPr>
          <w:iCs/>
          <w:i/>
        </w:rPr>
        <w:t xml:space="preserve">Acknowledgements) have been moved to the title-page/cover-letter file in</w:t>
      </w:r>
      <w:r>
        <w:rPr>
          <w:iCs/>
          <w:i/>
        </w:rPr>
        <w:t xml:space="preserve"> </w:t>
      </w:r>
      <w:r>
        <w:rPr>
          <w:iCs/>
          <w:i/>
        </w:rPr>
        <w:t xml:space="preserve">accordance with the journal’s blinded-manuscript policy.</w:t>
      </w:r>
    </w:p>
    <w:bookmarkEnd w:id="91"/>
    <w:bookmarkStart w:id="93" w:name="secA1"/>
    <w:p>
      <w:pPr>
        <w:pStyle w:val="Heading1"/>
      </w:pPr>
      <w:r>
        <w:t xml:space="preserve">Implementation and additional details</w:t>
      </w:r>
    </w:p>
    <w:p>
      <w:pPr>
        <w:pStyle w:val="FirstParagraph"/>
      </w:pPr>
      <w:r>
        <w:t xml:space="preserve">The pipeline is implemented in Python. On-chain data are queried via the Dune</w:t>
      </w:r>
      <w:r>
        <w:t xml:space="preserve"> </w:t>
      </w:r>
      <w:r>
        <w:t xml:space="preserve">Analytics SQL API over decoded Ethereum tables, with results cached by query</w:t>
      </w:r>
      <w:r>
        <w:t xml:space="preserve"> </w:t>
      </w:r>
      <w:r>
        <w:t xml:space="preserve">hash for reproducibility and to respect rate limits. Structural equations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 </w:t>
      </w:r>
      <w:r>
        <w:t xml:space="preserve">are fit with ridge regression (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); the Monte-Carlo</w:t>
      </w:r>
      <w:r>
        <w:t xml:space="preserve"> </w:t>
      </w:r>
      <w:r>
        <w:t xml:space="preserve">estimator uses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150</m:t>
            </m:r>
            <m:r>
              <m:rPr>
                <m:sty m:val="p"/>
              </m:rPr>
              <m:t>,</m:t>
            </m:r>
            <m:r>
              <m:t>400</m:t>
            </m:r>
          </m:e>
        </m:d>
      </m:oMath>
      <w:r>
        <w:t xml:space="preserve"> </w:t>
      </w:r>
      <w:r>
        <w:t xml:space="preserve">residual-bootstrap paths; the Tier-1 classifier</w:t>
      </w:r>
      <w:r>
        <w:t xml:space="preserve"> </w:t>
      </w:r>
      <w:r>
        <w:t xml:space="preserve">is a gradient-boosted tree ensemble and the Tier-2 embedding a</w:t>
      </w:r>
      <w:r>
        <w:t xml:space="preserve"> </w:t>
      </w:r>
      <m:oMath>
        <m:r>
          <m:t>16</m:t>
        </m:r>
      </m:oMath>
      <w:r>
        <w:t xml:space="preserve">-dimensional</w:t>
      </w:r>
      <w:r>
        <w:t xml:space="preserve"> </w:t>
      </w:r>
      <w:r>
        <w:t xml:space="preserve">truncated SVD. For the hourly consolidated run the estimation window is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hours preceding 10 October 2025, with</w:t>
      </w:r>
      <w:r>
        <w:t xml:space="preserve"> </w:t>
      </w:r>
      <m:oMath>
        <m:r>
          <m:t>48</m:t>
        </m:r>
      </m:oMath>
      <w:r>
        <w:t xml:space="preserve"> </w:t>
      </w:r>
      <w:r>
        <w:t xml:space="preserve">event hours; severe-distress</w:t>
      </w:r>
      <w:r>
        <w:t xml:space="preserve"> </w:t>
      </w:r>
      <w:r>
        <w:t xml:space="preserve">interventions set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to each entity’s</w:t>
      </w:r>
      <w:r>
        <w:t xml:space="preserve"> </w:t>
      </w:r>
      <m:oMath>
        <m:r>
          <m:t>95</m:t>
        </m:r>
      </m:oMath>
      <w:r>
        <w:t xml:space="preserve">th historical stress percentile</w:t>
      </w:r>
      <w:r>
        <w:t xml:space="preserve"> </w:t>
      </w:r>
      <w:r>
        <w:t xml:space="preserve">and pre-crisis counterfactual levels use the estimation-window median. The</w:t>
      </w:r>
      <w:r>
        <w:t xml:space="preserve"> </w:t>
      </w:r>
      <w:r>
        <w:t xml:space="preserve">VaR/loss level is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throughout. Residuals are mean-centred by</w:t>
      </w:r>
      <w:r>
        <w:t xml:space="preserve"> </w:t>
      </w:r>
      <w:r>
        <w:t xml:space="preserve">construction; the block bootstrap resamples residual vectors</w:t>
      </w:r>
      <w:r>
        <w:t xml:space="preserve"> </w:t>
      </w:r>
      <w:r>
        <w:rPr>
          <w:iCs/>
          <w:i/>
        </w:rPr>
        <w:t xml:space="preserve">jointly</w:t>
      </w:r>
      <w:r>
        <w:t xml:space="preserve"> </w:t>
      </w:r>
      <w:r>
        <w:t xml:space="preserve">across entities at each step, so contemporaneous cross-entity dependence (common</w:t>
      </w:r>
      <w:r>
        <w:t xml:space="preserve"> </w:t>
      </w:r>
      <w:r>
        <w:t xml:space="preserve">shocks) is preserved rather than destroyed.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paths the Monte-Carlo</w:t>
      </w:r>
      <w:r>
        <w:t xml:space="preserve"> </w:t>
      </w:r>
      <w:r>
        <w:t xml:space="preserve">standard error of the reported OC-CoVaR quantiles is below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of the estimate.</w:t>
      </w:r>
      <w:r>
        <w:t xml:space="preserve"> </w:t>
      </w:r>
      <w:r>
        <w:t xml:space="preserve">Table </w:t>
      </w:r>
      <w:hyperlink w:anchor="tab:rvfull">
        <w:r>
          <w:rPr>
            <w:rStyle w:val="Hyperlink"/>
          </w:rPr>
          <w:t xml:space="preserve">15</w:t>
        </w:r>
      </w:hyperlink>
      <w:r>
        <w:t xml:space="preserve"> </w:t>
      </w:r>
      <w:r>
        <w:t xml:space="preserve">lists the robustness values for the strongest structural</w:t>
      </w:r>
      <w:r>
        <w:t xml:space="preserve"> </w:t>
      </w:r>
      <w:r>
        <w:t xml:space="preserve">coefficients, computed via</w:t>
      </w:r>
      <w:r>
        <w:t xml:space="preserve"> </w:t>
      </w:r>
      <w:hyperlink w:anchor="eq:rv">
        <w:r>
          <w:rPr>
            <w:rStyle w:val="Hyperlink"/>
          </w:rPr>
          <w:t xml:space="preserve">[eq:rv]</w:t>
        </w:r>
      </w:hyperlink>
      <w:r>
        <w:t xml:space="preserve"> </w:t>
      </w:r>
      <w:r>
        <w:t xml:space="preserve">from OLS</w:t>
      </w:r>
      <w:r>
        <w:t xml:space="preserve"> </w:t>
      </w:r>
      <m:oMath>
        <m:r>
          <m:t>t</m:t>
        </m:r>
      </m:oMath>
      <w:r>
        <w:t xml:space="preserve">-statistics on the design</w:t>
      </w:r>
      <w:r>
        <w:t xml:space="preserve"> </w:t>
      </w:r>
      <w:r>
        <w:t xml:space="preserve">of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. The headline attribution numbers in Table </w:t>
      </w:r>
      <w:hyperlink w:anchor="tab:cf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(Section </w:t>
      </w:r>
      <w:hyperlink w:anchor="subsec:h345">
        <w:r>
          <w:rPr>
            <w:rStyle w:val="Hyperlink"/>
          </w:rPr>
          <w:t xml:space="preserve">5.2</w:t>
        </w:r>
      </w:hyperlink>
      <w:r>
        <w:t xml:space="preserve">) are single-entity-removal counterfactuals,</w:t>
      </w:r>
      <w:r>
        <w:t xml:space="preserve"> </w:t>
      </w:r>
      <w:r>
        <w:t xml:space="preserve">computed for every reported upstream/downstream pair; the Shapley</w:t>
      </w:r>
      <w:r>
        <w:t xml:space="preserve"> </w:t>
      </w:r>
      <w:r>
        <w:t xml:space="preserve">decomposition of Figure </w:t>
      </w:r>
      <w:hyperlink w:anchor="fig:shapley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is computed for one illustrative</w:t>
      </w:r>
      <w:r>
        <w:t xml:space="preserve"> </w:t>
      </w:r>
      <w:r>
        <w:t xml:space="preserve">target (Bybit’s event-window distress, over its three candidate on-chain</w:t>
      </w:r>
      <w:r>
        <w:t xml:space="preserve"> </w:t>
      </w:r>
      <w:r>
        <w:t xml:space="preserve">sources) to demonstrate exactness and order-invariance against the</w:t>
      </w:r>
      <w:r>
        <w:t xml:space="preserve"> </w:t>
      </w:r>
      <w:r>
        <w:t xml:space="preserve">single-removal numbers, not recomputed for every channel in the paper—the</w:t>
      </w:r>
      <w:r>
        <w:t xml:space="preserve"> </w:t>
      </w:r>
      <w:r>
        <w:t xml:space="preserve">two are complementary, not interchangeable, and we report results from each</w:t>
      </w:r>
      <w:r>
        <w:t xml:space="preserve"> </w:t>
      </w:r>
      <w:r>
        <w:t xml:space="preserve">under its own name throughout.</w:t>
      </w:r>
    </w:p>
    <w:p>
      <w:pPr>
        <w:pStyle w:val="BodyTex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Every result traces to cached</w:t>
      </w:r>
      <w:r>
        <w:t xml:space="preserve"> </w:t>
      </w:r>
      <w:r>
        <w:t xml:space="preserve">artefacts in the project repository. On-chain flows are computed from Dune’s</w:t>
      </w:r>
      <w:r>
        <w:t xml:space="preserve"> </w:t>
      </w:r>
      <w:r>
        <w:rPr>
          <w:rStyle w:val="VerbatimChar"/>
        </w:rPr>
        <w:t xml:space="preserve">erc20_ethereum.evt_Transfer</w:t>
      </w:r>
      <w:r>
        <w:t xml:space="preserve"> </w:t>
      </w:r>
      <w:r>
        <w:t xml:space="preserve">joined to</w:t>
      </w:r>
      <w:r>
        <w:t xml:space="preserve"> </w:t>
      </w:r>
      <w:r>
        <w:rPr>
          <w:rStyle w:val="VerbatimChar"/>
        </w:rPr>
        <w:t xml:space="preserve">labels.cex_ethereum</w:t>
      </w:r>
      <w:r>
        <w:t xml:space="preserve">;</w:t>
      </w:r>
      <w:r>
        <w:t xml:space="preserve"> </w:t>
      </w:r>
      <w:r>
        <w:t xml:space="preserve">the systemic-core tokens are USDe (</w:t>
      </w:r>
      <w:r>
        <w:rPr>
          <w:rStyle w:val="VerbatimChar"/>
        </w:rPr>
        <w:t xml:space="preserve">0x4c9e…68b3</w:t>
      </w:r>
      <w:r>
        <w:t xml:space="preserve">), sUSDe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0x9d39…3497</w:t>
      </w:r>
      <w:r>
        <w:t xml:space="preserve">) and wBETH (</w:t>
      </w:r>
      <w:r>
        <w:rPr>
          <w:rStyle w:val="VerbatimChar"/>
        </w:rPr>
        <w:t xml:space="preserve">0xa2e3…2ee1</w:t>
      </w:r>
      <w:r>
        <w:t xml:space="preserve">), with USDC</w:t>
      </w:r>
      <w:r>
        <w:t xml:space="preserve"> </w:t>
      </w:r>
      <w:r>
        <w:t xml:space="preserve">(</w:t>
      </w:r>
      <w:r>
        <w:rPr>
          <w:rStyle w:val="VerbatimChar"/>
        </w:rPr>
        <w:t xml:space="preserve">0xa0b8…eb48</w:t>
      </w:r>
      <w:r>
        <w:t xml:space="preserve">), USDT (</w:t>
      </w:r>
      <w:r>
        <w:rPr>
          <w:rStyle w:val="VerbatimChar"/>
        </w:rPr>
        <w:t xml:space="preserve">0xdac1…1ec7</w:t>
      </w:r>
      <w:r>
        <w:t xml:space="preserve">) and WETH</w:t>
      </w:r>
      <w:r>
        <w:t xml:space="preserve"> </w:t>
      </w:r>
      <w:r>
        <w:t xml:space="preserve">(</w:t>
      </w:r>
      <w:r>
        <w:rPr>
          <w:rStyle w:val="VerbatimChar"/>
        </w:rPr>
        <w:t xml:space="preserve">0xc02a…6cc2</w:t>
      </w:r>
      <w:r>
        <w:t xml:space="preserve">) for the event-window enrichment and the 2022–2023</w:t>
      </w:r>
      <w:r>
        <w:t xml:space="preserve"> </w:t>
      </w:r>
      <w:r>
        <w:t xml:space="preserve">episodes. Event windows are: October cascade 8–14 Oct 2025 (event 10–11 Oct,</w:t>
      </w:r>
      <w:r>
        <w:t xml:space="preserve"> </w:t>
      </w:r>
      <w:r>
        <w:t xml:space="preserve">hourly fit 15 Sep–25 Oct); FTX 1–16 Nov 2022 (event 8–11 Nov); USDC/SVB</w:t>
      </w:r>
      <w:r>
        <w:t xml:space="preserve"> </w:t>
      </w:r>
      <w:r>
        <w:t xml:space="preserve">1–16 Mar 2023 (event 10–13 Mar). All Monte-Carlo and bootstrap procedures use a</w:t>
      </w:r>
      <w:r>
        <w:t xml:space="preserve"> </w:t>
      </w:r>
      <w:r>
        <w:t xml:space="preserve">fixed seed (</w:t>
      </w:r>
      <m:oMath>
        <m:r>
          <m:t>7</m:t>
        </m:r>
      </m:oMath>
      <w:r>
        <w:t xml:space="preserve">); ridge penalty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; resolution threshold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0.8</m:t>
        </m:r>
      </m:oMath>
      <w:r>
        <w:t xml:space="preserve">;</w:t>
      </w:r>
      <w:r>
        <w:t xml:space="preserve"> </w:t>
      </w:r>
      <w:r>
        <w:t xml:space="preserve">graph edge threshold US$1M (daily) / US$0.1M (hourly). Each Dune query is</w:t>
      </w:r>
      <w:r>
        <w:t xml:space="preserve"> </w:t>
      </w:r>
      <w:r>
        <w:t xml:space="preserve">persisted by SQL hash so the exact query text and returned rows are recoverable.</w:t>
      </w:r>
    </w:p>
    <w:bookmarkStart w:id="92" w:name="tab:rvfull"/>
    <w:p>
      <w:pPr>
        <w:pStyle w:val="TableCaption"/>
      </w:pPr>
      <w:r>
        <w:t xml:space="preserve">Robustness values for leading structural coefficients (hourly).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Robustness values for leading structural coefficients (hourly)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bCs/>
                <w:b/>
              </w:rPr>
              <w:t xml:space="preserve">-statistic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Coinbase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Coinbase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Bullish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Binance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Gate.io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Bitfinex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0.137</w:t>
            </w:r>
          </w:p>
        </w:tc>
      </w:tr>
    </w:tbl>
    <w:bookmarkEnd w:id="92"/>
    <w:bookmarkEnd w:id="93"/>
    <w:bookmarkStart w:id="136" w:name="bibliography"/>
    <w:p>
      <w:pPr>
        <w:pStyle w:val="Heading1"/>
      </w:pPr>
      <w:r>
        <w:t xml:space="preserve">References</w:t>
      </w:r>
    </w:p>
    <w:bookmarkStart w:id="135" w:name="refs"/>
    <w:bookmarkStart w:id="95" w:name="ref-acharya2017measuring"/>
    <w:p>
      <w:pPr>
        <w:pStyle w:val="Bibliography"/>
      </w:pPr>
      <w:r>
        <w:t xml:space="preserve">Acharya, Viral V., Lasse Heje Pedersen, Thomas Philippon, and Matthew Richardson. 2017.</w:t>
      </w:r>
      <w:r>
        <w:t xml:space="preserve"> </w:t>
      </w:r>
      <w:r>
        <w:t xml:space="preserve">“Measuring Systemic Risk.”</w:t>
      </w:r>
      <w:r>
        <w:t xml:space="preserve"> </w:t>
      </w:r>
      <w:r>
        <w:rPr>
          <w:iCs/>
          <w:i/>
        </w:rPr>
        <w:t xml:space="preserve">The Review of Financial Studies</w:t>
      </w:r>
      <w:r>
        <w:t xml:space="preserve"> </w:t>
      </w:r>
      <w:r>
        <w:t xml:space="preserve">30 (1): 2–47.</w:t>
      </w:r>
      <w:r>
        <w:t xml:space="preserve"> </w:t>
      </w:r>
      <w:hyperlink r:id="rId94">
        <w:r>
          <w:rPr>
            <w:rStyle w:val="Hyperlink"/>
          </w:rPr>
          <w:t xml:space="preserve">https://doi.org/10.1093/rfs/hhw088</w:t>
        </w:r>
      </w:hyperlink>
      <w:r>
        <w:t xml:space="preserve">.</w:t>
      </w:r>
    </w:p>
    <w:bookmarkEnd w:id="95"/>
    <w:bookmarkStart w:id="97" w:name="ref-adrian2016covar"/>
    <w:p>
      <w:pPr>
        <w:pStyle w:val="Bibliography"/>
      </w:pPr>
      <w:r>
        <w:t xml:space="preserve">Adrian, Tobias, and Markus K. Brunnermeier. 2016.</w:t>
      </w:r>
      <w:r>
        <w:t xml:space="preserve"> </w:t>
      </w:r>
      <w:r>
        <w:t xml:space="preserve">“</w:t>
      </w:r>
      <w:r>
        <w:t xml:space="preserve">CoVaR</w:t>
      </w:r>
      <w:r>
        <w:t xml:space="preserve">.”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 </w:t>
      </w:r>
      <w:r>
        <w:t xml:space="preserve">106 (7): 1705–41.</w:t>
      </w:r>
      <w:r>
        <w:t xml:space="preserve"> </w:t>
      </w:r>
      <w:hyperlink r:id="rId96">
        <w:r>
          <w:rPr>
            <w:rStyle w:val="Hyperlink"/>
          </w:rPr>
          <w:t xml:space="preserve">https://doi.org/10.1257/aer.20120555</w:t>
        </w:r>
      </w:hyperlink>
      <w:r>
        <w:t xml:space="preserve">.</w:t>
      </w:r>
    </w:p>
    <w:bookmarkEnd w:id="97"/>
    <w:bookmarkStart w:id="98" w:name="ref-akcora2018bitcoin"/>
    <w:p>
      <w:pPr>
        <w:pStyle w:val="Bibliography"/>
      </w:pPr>
      <w:r>
        <w:t xml:space="preserve">Akcora, Cuneyt G., Matthew F. Dixon, Yulia R. Gel, and Murat Kantarcioglu. 2018.</w:t>
      </w:r>
      <w:r>
        <w:t xml:space="preserve"> </w:t>
      </w:r>
      <w:r>
        <w:t xml:space="preserve">“Bitcoin Risk Modeling with Blockchain Graphs.”</w:t>
      </w:r>
      <w:r>
        <w:t xml:space="preserve"> </w:t>
      </w:r>
      <w:r>
        <w:rPr>
          <w:iCs/>
          <w:i/>
        </w:rPr>
        <w:t xml:space="preserve">Economics Letters</w:t>
      </w:r>
      <w:r>
        <w:t xml:space="preserve"> </w:t>
      </w:r>
      <w:r>
        <w:t xml:space="preserve">173: 138–42.</w:t>
      </w:r>
    </w:p>
    <w:bookmarkEnd w:id="98"/>
    <w:bookmarkStart w:id="99" w:name="ref-ali2025anatomy"/>
    <w:p>
      <w:pPr>
        <w:pStyle w:val="Bibliography"/>
      </w:pPr>
      <w:r>
        <w:t xml:space="preserve">Ali, Zeeshan. 2025.</w:t>
      </w:r>
      <w:r>
        <w:t xml:space="preserve"> </w:t>
      </w:r>
      <w:r>
        <w:t xml:space="preserve">“Anatomy of the</w:t>
      </w:r>
      <w:r>
        <w:t xml:space="preserve"> </w:t>
      </w:r>
      <w:r>
        <w:t xml:space="preserve">Oct</w:t>
      </w:r>
      <w:r>
        <w:t xml:space="preserve"> </w:t>
      </w:r>
      <w:r>
        <w:t xml:space="preserve">10–11, 2025 Crypto Liquidation Cascade: Macroeconomic Triggers, Market Microstructure, and Systemic Risk Lessons.”</w:t>
      </w:r>
      <w:r>
        <w:t xml:space="preserve"> </w:t>
      </w:r>
      <w:r>
        <w:t xml:space="preserve">SSRN Working Paper 5611392.</w:t>
      </w:r>
    </w:p>
    <w:bookmarkEnd w:id="99"/>
    <w:bookmarkStart w:id="100" w:name="ref-aufiero2025mapping"/>
    <w:p>
      <w:pPr>
        <w:pStyle w:val="Bibliography"/>
      </w:pPr>
      <w:r>
        <w:t xml:space="preserve">Aufiero, Sabrina, Silvia Bartolucci, Fabio Caccioli, and Pierpaolo Vivo. 2025.</w:t>
      </w:r>
      <w:r>
        <w:t xml:space="preserve"> </w:t>
      </w:r>
      <w:r>
        <w:t xml:space="preserve">“Mapping Microscopic and Systemic Risks in</w:t>
      </w:r>
      <w:r>
        <w:t xml:space="preserve"> </w:t>
      </w:r>
      <w:r>
        <w:t xml:space="preserve">TradFi</w:t>
      </w:r>
      <w:r>
        <w:t xml:space="preserve"> </w:t>
      </w:r>
      <w:r>
        <w:t xml:space="preserve">and</w:t>
      </w:r>
      <w:r>
        <w:t xml:space="preserve"> </w:t>
      </w:r>
      <w:r>
        <w:t xml:space="preserve">DeFi</w:t>
      </w:r>
      <w:r>
        <w:t xml:space="preserve">: A Literature Review.”</w:t>
      </w:r>
      <w:r>
        <w:t xml:space="preserve"> </w:t>
      </w:r>
      <w:r>
        <w:t xml:space="preserve">arXiv:2508.12007.</w:t>
      </w:r>
    </w:p>
    <w:bookmarkEnd w:id="100"/>
    <w:bookmarkStart w:id="102" w:name="ref-billio2012econometric"/>
    <w:p>
      <w:pPr>
        <w:pStyle w:val="Bibliography"/>
      </w:pPr>
      <w:r>
        <w:t xml:space="preserve">Billio, Monica, Mila Getmansky, Andrew W. Lo, and Loriana Pelizzon. 2012.</w:t>
      </w:r>
      <w:r>
        <w:t xml:space="preserve"> </w:t>
      </w:r>
      <w:r>
        <w:t xml:space="preserve">“Econometric Measures of Connectedness and Systemic Risk in the Finance and Insurance Sectors.”</w:t>
      </w:r>
      <w:r>
        <w:t xml:space="preserve"> </w:t>
      </w:r>
      <w:r>
        <w:rPr>
          <w:iCs/>
          <w:i/>
        </w:rPr>
        <w:t xml:space="preserve">Journal of Financial Economics</w:t>
      </w:r>
      <w:r>
        <w:t xml:space="preserve"> </w:t>
      </w:r>
      <w:r>
        <w:t xml:space="preserve">104 (3): 535–59.</w:t>
      </w:r>
      <w:r>
        <w:t xml:space="preserve"> </w:t>
      </w:r>
      <w:hyperlink r:id="rId101">
        <w:r>
          <w:rPr>
            <w:rStyle w:val="Hyperlink"/>
          </w:rPr>
          <w:t xml:space="preserve">https://doi.org/10.1016/j.jfineco.2011.12.010</w:t>
        </w:r>
      </w:hyperlink>
      <w:r>
        <w:t xml:space="preserve">.</w:t>
      </w:r>
    </w:p>
    <w:bookmarkEnd w:id="102"/>
    <w:bookmarkStart w:id="104" w:name="ref-christoffersen1998evaluating"/>
    <w:p>
      <w:pPr>
        <w:pStyle w:val="Bibliography"/>
      </w:pPr>
      <w:r>
        <w:t xml:space="preserve">Christoffersen, Peter F. 1998.</w:t>
      </w:r>
      <w:r>
        <w:t xml:space="preserve"> </w:t>
      </w:r>
      <w:r>
        <w:t xml:space="preserve">“Evaluating Interval Forecasts.”</w:t>
      </w:r>
      <w:r>
        <w:t xml:space="preserve"> </w:t>
      </w:r>
      <w:r>
        <w:rPr>
          <w:iCs/>
          <w:i/>
        </w:rPr>
        <w:t xml:space="preserve">International Economic Review</w:t>
      </w:r>
      <w:r>
        <w:t xml:space="preserve"> </w:t>
      </w:r>
      <w:r>
        <w:t xml:space="preserve">39 (4): 841–62.</w:t>
      </w:r>
      <w:r>
        <w:t xml:space="preserve"> </w:t>
      </w:r>
      <w:hyperlink r:id="rId103">
        <w:r>
          <w:rPr>
            <w:rStyle w:val="Hyperlink"/>
          </w:rPr>
          <w:t xml:space="preserve">https://doi.org/10.2307/2527341</w:t>
        </w:r>
      </w:hyperlink>
      <w:r>
        <w:t xml:space="preserve">.</w:t>
      </w:r>
    </w:p>
    <w:bookmarkEnd w:id="104"/>
    <w:bookmarkStart w:id="106" w:name="ref-cinelli2020sensitivity"/>
    <w:p>
      <w:pPr>
        <w:pStyle w:val="Bibliography"/>
      </w:pPr>
      <w:r>
        <w:t xml:space="preserve">Cinelli, Carlos, and Chad Hazlett. 2020.</w:t>
      </w:r>
      <w:r>
        <w:t xml:space="preserve"> </w:t>
      </w:r>
      <w:r>
        <w:t xml:space="preserve">“Making Sense of Sensitivity: Extending Omitted Variable Bias.”</w:t>
      </w:r>
      <w:r>
        <w:t xml:space="preserve"> </w:t>
      </w:r>
      <w:r>
        <w:rPr>
          <w:iCs/>
          <w:i/>
        </w:rPr>
        <w:t xml:space="preserve">Journal of the Royal Statistical Society: Series B (Statistical Methodology)</w:t>
      </w:r>
      <w:r>
        <w:t xml:space="preserve"> </w:t>
      </w:r>
      <w:r>
        <w:t xml:space="preserve">82 (1): 39–67.</w:t>
      </w:r>
      <w:r>
        <w:t xml:space="preserve"> </w:t>
      </w:r>
      <w:hyperlink r:id="rId105">
        <w:r>
          <w:rPr>
            <w:rStyle w:val="Hyperlink"/>
          </w:rPr>
          <w:t xml:space="preserve">https://doi.org/10.1111/rssb.12348</w:t>
        </w:r>
      </w:hyperlink>
      <w:r>
        <w:t xml:space="preserve">.</w:t>
      </w:r>
    </w:p>
    <w:bookmarkEnd w:id="106"/>
    <w:bookmarkStart w:id="107" w:name="ref-colombo2014order"/>
    <w:p>
      <w:pPr>
        <w:pStyle w:val="Bibliography"/>
      </w:pPr>
      <w:r>
        <w:t xml:space="preserve">Colombo, Diego, and Marloes H. Maathuis. 2014.</w:t>
      </w:r>
      <w:r>
        <w:t xml:space="preserve"> </w:t>
      </w:r>
      <w:r>
        <w:t xml:space="preserve">“Order-Independent Constraint-Based Causal Structure Learning.”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 </w:t>
      </w:r>
      <w:r>
        <w:t xml:space="preserve">15: 3921–62.</w:t>
      </w:r>
    </w:p>
    <w:bookmarkEnd w:id="107"/>
    <w:bookmarkStart w:id="109" w:name="ref-diebold2014network"/>
    <w:p>
      <w:pPr>
        <w:pStyle w:val="Bibliography"/>
      </w:pPr>
      <w:r>
        <w:t xml:space="preserve">Diebold, Francis X., and Kamil Yılmaz. 2014.</w:t>
      </w:r>
      <w:r>
        <w:t xml:space="preserve"> </w:t>
      </w:r>
      <w:r>
        <w:t xml:space="preserve">“On the Network Topology of Variance Decompositions: Measuring the Connectedness of Financial Firms.”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 </w:t>
      </w:r>
      <w:r>
        <w:t xml:space="preserve">182 (1): 119–34.</w:t>
      </w:r>
      <w:r>
        <w:t xml:space="preserve"> </w:t>
      </w:r>
      <w:hyperlink r:id="rId108">
        <w:r>
          <w:rPr>
            <w:rStyle w:val="Hyperlink"/>
          </w:rPr>
          <w:t xml:space="preserve">https://doi.org/10.1016/j.jeconom.2014.04.012</w:t>
        </w:r>
      </w:hyperlink>
      <w:r>
        <w:t xml:space="preserve">.</w:t>
      </w:r>
    </w:p>
    <w:bookmarkEnd w:id="109"/>
    <w:bookmarkStart w:id="110" w:name="ref-etesami2023tvdig"/>
    <w:p>
      <w:pPr>
        <w:pStyle w:val="Bibliography"/>
      </w:pPr>
      <w:r>
        <w:t xml:space="preserve">Etesami, Jalal, Ali Habibnia, and Negar Kiyavash. 2023.</w:t>
      </w:r>
      <w:r>
        <w:t xml:space="preserve"> </w:t>
      </w:r>
      <w:r>
        <w:t xml:space="preserve">“Modeling Systemic Risk: A Time-Varying Nonparametric Causal Inference Framework.”</w:t>
      </w:r>
      <w:r>
        <w:t xml:space="preserve"> </w:t>
      </w:r>
      <w:r>
        <w:t xml:space="preserve">arXiv:2312.16707.</w:t>
      </w:r>
    </w:p>
    <w:bookmarkEnd w:id="110"/>
    <w:bookmarkStart w:id="111" w:name="ref-farzulla2026asri"/>
    <w:p>
      <w:pPr>
        <w:pStyle w:val="Bibliography"/>
      </w:pPr>
      <w:r>
        <w:t xml:space="preserve">Farzulla, Murad, and Andrew Maksakov. 2026.</w:t>
      </w:r>
      <w:r>
        <w:t xml:space="preserve"> </w:t>
      </w:r>
      <w:r>
        <w:t xml:space="preserve">“</w:t>
      </w:r>
      <w:r>
        <w:t xml:space="preserve">ASRI</w:t>
      </w:r>
      <w:r>
        <w:t xml:space="preserve">: An Aggregated Systemic Risk Index for Cryptocurrency Markets.”</w:t>
      </w:r>
      <w:r>
        <w:t xml:space="preserve"> </w:t>
      </w:r>
      <w:r>
        <w:t xml:space="preserve">arXiv:2602.03874.</w:t>
      </w:r>
    </w:p>
    <w:bookmarkEnd w:id="111"/>
    <w:bookmarkStart w:id="113" w:name="ref-giudici2018corisk"/>
    <w:p>
      <w:pPr>
        <w:pStyle w:val="Bibliography"/>
      </w:pPr>
      <w:r>
        <w:t xml:space="preserve">Giudici, Paolo, and Laura Parisi. 2018.</w:t>
      </w:r>
      <w:r>
        <w:t xml:space="preserve"> </w:t>
      </w:r>
      <w:r>
        <w:t xml:space="preserve">“</w:t>
      </w:r>
      <w:r>
        <w:t xml:space="preserve">CoRisk</w:t>
      </w:r>
      <w:r>
        <w:t xml:space="preserve">: Credit Risk Contagion with Correlation Network Models.”</w:t>
      </w:r>
      <w:r>
        <w:t xml:space="preserve"> </w:t>
      </w:r>
      <w:r>
        <w:rPr>
          <w:iCs/>
          <w:i/>
        </w:rPr>
        <w:t xml:space="preserve">Risks</w:t>
      </w:r>
      <w:r>
        <w:t xml:space="preserve"> </w:t>
      </w:r>
      <w:r>
        <w:t xml:space="preserve">6 (3): 95.</w:t>
      </w:r>
      <w:r>
        <w:t xml:space="preserve"> </w:t>
      </w:r>
      <w:hyperlink r:id="rId112">
        <w:r>
          <w:rPr>
            <w:rStyle w:val="Hyperlink"/>
          </w:rPr>
          <w:t xml:space="preserve">https://doi.org/10.3390/risks6030095</w:t>
        </w:r>
      </w:hyperlink>
      <w:r>
        <w:t xml:space="preserve">.</w:t>
      </w:r>
    </w:p>
    <w:bookmarkEnd w:id="113"/>
    <w:bookmarkStart w:id="115" w:name="ref-granger1969"/>
    <w:p>
      <w:pPr>
        <w:pStyle w:val="Bibliography"/>
      </w:pPr>
      <w:r>
        <w:t xml:space="preserve">Granger, C. W. J. 1969.</w:t>
      </w:r>
      <w:r>
        <w:t xml:space="preserve"> </w:t>
      </w:r>
      <w:r>
        <w:t xml:space="preserve">“Investigating Causal Relations by Econometric Models and Cross-Spectral Methods.”</w:t>
      </w:r>
      <w:r>
        <w:t xml:space="preserve"> </w:t>
      </w:r>
      <w:r>
        <w:rPr>
          <w:iCs/>
          <w:i/>
        </w:rPr>
        <w:t xml:space="preserve">Econometrica</w:t>
      </w:r>
      <w:r>
        <w:t xml:space="preserve"> </w:t>
      </w:r>
      <w:r>
        <w:t xml:space="preserve">37 (3): 424–38.</w:t>
      </w:r>
      <w:r>
        <w:t xml:space="preserve"> </w:t>
      </w:r>
      <w:hyperlink r:id="rId114">
        <w:r>
          <w:rPr>
            <w:rStyle w:val="Hyperlink"/>
          </w:rPr>
          <w:t xml:space="preserve">https://doi.org/10.2307/1912791</w:t>
        </w:r>
      </w:hyperlink>
      <w:r>
        <w:t xml:space="preserve">.</w:t>
      </w:r>
    </w:p>
    <w:bookmarkEnd w:id="115"/>
    <w:bookmarkStart w:id="117" w:name="ref-kumar2025causalreview"/>
    <w:p>
      <w:pPr>
        <w:pStyle w:val="Bibliography"/>
      </w:pPr>
      <w:r>
        <w:t xml:space="preserve">Kumar, Satyam, Yelleti Vivek, Vadlamani Ravi, and Indranil Bose. 2025.</w:t>
      </w:r>
      <w:r>
        <w:t xml:space="preserve"> </w:t>
      </w:r>
      <w:r>
        <w:t xml:space="preserve">“A Comprehensive Review of Causal Inference in Banking, Finance, and Insurance.”</w:t>
      </w:r>
      <w:r>
        <w:t xml:space="preserve"> </w:t>
      </w:r>
      <w:r>
        <w:rPr>
          <w:iCs/>
          <w:i/>
        </w:rPr>
        <w:t xml:space="preserve">ACM Computing Surveys</w:t>
      </w:r>
      <w:r>
        <w:t xml:space="preserve"> </w:t>
      </w:r>
      <w:r>
        <w:t xml:space="preserve">57 (12).</w:t>
      </w:r>
      <w:r>
        <w:t xml:space="preserve"> </w:t>
      </w:r>
      <w:hyperlink r:id="rId116">
        <w:r>
          <w:rPr>
            <w:rStyle w:val="Hyperlink"/>
          </w:rPr>
          <w:t xml:space="preserve">https://doi.org/10.1145/3736752</w:t>
        </w:r>
      </w:hyperlink>
      <w:r>
        <w:t xml:space="preserve">.</w:t>
      </w:r>
    </w:p>
    <w:bookmarkEnd w:id="117"/>
    <w:bookmarkStart w:id="119" w:name="ref-kupiec1995techniques"/>
    <w:p>
      <w:pPr>
        <w:pStyle w:val="Bibliography"/>
      </w:pPr>
      <w:r>
        <w:t xml:space="preserve">Kupiec, Paul H. 1995.</w:t>
      </w:r>
      <w:r>
        <w:t xml:space="preserve"> </w:t>
      </w:r>
      <w:r>
        <w:t xml:space="preserve">“Techniques for Verifying the Accuracy of Risk Measurement Models.”</w:t>
      </w:r>
      <w:r>
        <w:t xml:space="preserve"> </w:t>
      </w:r>
      <w:r>
        <w:rPr>
          <w:iCs/>
          <w:i/>
        </w:rPr>
        <w:t xml:space="preserve">The Journal of Derivatives</w:t>
      </w:r>
      <w:r>
        <w:t xml:space="preserve"> </w:t>
      </w:r>
      <w:r>
        <w:t xml:space="preserve">3 (2): 73–84.</w:t>
      </w:r>
      <w:r>
        <w:t xml:space="preserve"> </w:t>
      </w:r>
      <w:hyperlink r:id="rId118">
        <w:r>
          <w:rPr>
            <w:rStyle w:val="Hyperlink"/>
          </w:rPr>
          <w:t xml:space="preserve">https://doi.org/10.3905/jod.1995.407942</w:t>
        </w:r>
      </w:hyperlink>
      <w:r>
        <w:t xml:space="preserve">.</w:t>
      </w:r>
    </w:p>
    <w:bookmarkEnd w:id="119"/>
    <w:bookmarkStart w:id="120" w:name="ref-lim2026cascade"/>
    <w:p>
      <w:pPr>
        <w:pStyle w:val="Bibliography"/>
      </w:pPr>
      <w:r>
        <w:t xml:space="preserve">Lim, Boon Chuan. 2026.</w:t>
      </w:r>
      <w:r>
        <w:t xml:space="preserve"> </w:t>
      </w:r>
      <w:r>
        <w:t xml:space="preserve">“Anatomy of a Crypto Cascade: Minute-Level Evidence from the</w:t>
      </w:r>
      <w:r>
        <w:t xml:space="preserve"> </w:t>
      </w:r>
      <w:r>
        <w:t xml:space="preserve">October</w:t>
      </w:r>
      <w:r>
        <w:t xml:space="preserve"> </w:t>
      </w:r>
      <w:r>
        <w:t xml:space="preserve">2025 Crash.”</w:t>
      </w:r>
      <w:r>
        <w:t xml:space="preserve"> </w:t>
      </w:r>
      <w:r>
        <w:t xml:space="preserve">SSRN Working Paper 6579278.</w:t>
      </w:r>
    </w:p>
    <w:bookmarkEnd w:id="120"/>
    <w:bookmarkStart w:id="122" w:name="ref-meiklejohn2013fistful"/>
    <w:p>
      <w:pPr>
        <w:pStyle w:val="Bibliography"/>
      </w:pPr>
      <w:r>
        <w:t xml:space="preserve">Meiklejohn, Sarah, Marjori Pomarole, Grant Jordan, Kirill Levchenko, Damon McCoy, Geoffrey M. Voelker, and Stefan Savage. 2013.</w:t>
      </w:r>
      <w:r>
        <w:t xml:space="preserve"> </w:t>
      </w:r>
      <w:r>
        <w:t xml:space="preserve">“A Fistful of Bitcoins: Characterizing Payments Among Men with No Names.”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ACM Internet Measurement Conference (IMC)</w:t>
      </w:r>
      <w:r>
        <w:t xml:space="preserve">, 127–40.</w:t>
      </w:r>
      <w:r>
        <w:t xml:space="preserve"> </w:t>
      </w:r>
      <w:hyperlink r:id="rId121">
        <w:r>
          <w:rPr>
            <w:rStyle w:val="Hyperlink"/>
          </w:rPr>
          <w:t xml:space="preserve">https://doi.org/10.1145/2504730.2504747</w:t>
        </w:r>
      </w:hyperlink>
      <w:r>
        <w:t xml:space="preserve">.</w:t>
      </w:r>
    </w:p>
    <w:bookmarkEnd w:id="122"/>
    <w:bookmarkStart w:id="124" w:name="ref-pearl2009causality"/>
    <w:p>
      <w:pPr>
        <w:pStyle w:val="Bibliography"/>
      </w:pPr>
      <w:r>
        <w:t xml:space="preserve">Pearl, Judea. 2009.</w:t>
      </w:r>
      <w:r>
        <w:t xml:space="preserve"> </w:t>
      </w:r>
      <w:r>
        <w:rPr>
          <w:iCs/>
          <w:i/>
        </w:rPr>
        <w:t xml:space="preserve">Causality: Models, Reasoning, and Inference</w:t>
      </w:r>
      <w:r>
        <w:t xml:space="preserve">. 2nd ed. Cambridge, UK: Cambridge University Press.</w:t>
      </w:r>
      <w:r>
        <w:t xml:space="preserve"> </w:t>
      </w:r>
      <w:hyperlink r:id="rId123">
        <w:r>
          <w:rPr>
            <w:rStyle w:val="Hyperlink"/>
          </w:rPr>
          <w:t xml:space="preserve">https://doi.org/10.1017/CBO9780511803161</w:t>
        </w:r>
      </w:hyperlink>
      <w:r>
        <w:t xml:space="preserve">.</w:t>
      </w:r>
    </w:p>
    <w:bookmarkEnd w:id="124"/>
    <w:bookmarkStart w:id="126" w:name="ref-pearl2019seven"/>
    <w:p>
      <w:pPr>
        <w:pStyle w:val="Bibliography"/>
      </w:pPr>
      <w:r>
        <w:t xml:space="preserve">———. 2019.</w:t>
      </w:r>
      <w:r>
        <w:t xml:space="preserve"> </w:t>
      </w:r>
      <w:r>
        <w:t xml:space="preserve">“The Seven Tools of Causal Inference, with Reflections on Machine Learning.”</w:t>
      </w:r>
      <w:r>
        <w:t xml:space="preserve"> </w:t>
      </w:r>
      <w:r>
        <w:rPr>
          <w:iCs/>
          <w:i/>
        </w:rPr>
        <w:t xml:space="preserve">Communications of the ACM</w:t>
      </w:r>
      <w:r>
        <w:t xml:space="preserve"> </w:t>
      </w:r>
      <w:r>
        <w:t xml:space="preserve">62 (3): 54–60.</w:t>
      </w:r>
      <w:r>
        <w:t xml:space="preserve"> </w:t>
      </w:r>
      <w:hyperlink r:id="rId125">
        <w:r>
          <w:rPr>
            <w:rStyle w:val="Hyperlink"/>
          </w:rPr>
          <w:t xml:space="preserve">https://doi.org/10.1145/3241036</w:t>
        </w:r>
      </w:hyperlink>
      <w:r>
        <w:t xml:space="preserve">.</w:t>
      </w:r>
    </w:p>
    <w:bookmarkEnd w:id="126"/>
    <w:bookmarkStart w:id="128" w:name="ref-rigana2023new"/>
    <w:p>
      <w:pPr>
        <w:pStyle w:val="Bibliography"/>
      </w:pPr>
      <w:r>
        <w:t xml:space="preserve">Rigana, Katerina, Ernst C. Wit, and Samantha Cook. 2023.</w:t>
      </w:r>
      <w:r>
        <w:t xml:space="preserve"> </w:t>
      </w:r>
      <w:r>
        <w:t xml:space="preserve">“A New Way of Measuring Effects of Financial Crisis on Contagion in Currency Markets.”</w:t>
      </w:r>
      <w:r>
        <w:t xml:space="preserve"> </w:t>
      </w:r>
      <w:r>
        <w:rPr>
          <w:iCs/>
          <w:i/>
        </w:rPr>
        <w:t xml:space="preserve">International Review of Financial Analysis</w:t>
      </w:r>
      <w:r>
        <w:t xml:space="preserve"> </w:t>
      </w:r>
      <w:r>
        <w:t xml:space="preserve">90: 102764.</w:t>
      </w:r>
      <w:r>
        <w:t xml:space="preserve"> </w:t>
      </w:r>
      <w:hyperlink r:id="rId127">
        <w:r>
          <w:rPr>
            <w:rStyle w:val="Hyperlink"/>
          </w:rPr>
          <w:t xml:space="preserve">https://doi.org/10.1016/j.irfa.2023.102764</w:t>
        </w:r>
      </w:hyperlink>
      <w:r>
        <w:t xml:space="preserve">.</w:t>
      </w:r>
    </w:p>
    <w:bookmarkEnd w:id="128"/>
    <w:bookmarkStart w:id="129" w:name="ref-rigana2024neco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“Navigating Market Turbulence: Insights from Causal Network Contagion Value at Risk.”</w:t>
      </w:r>
      <w:r>
        <w:t xml:space="preserve"> </w:t>
      </w:r>
      <w:r>
        <w:t xml:space="preserve">arXiv:2402.06032.</w:t>
      </w:r>
    </w:p>
    <w:bookmarkEnd w:id="129"/>
    <w:bookmarkStart w:id="130" w:name="ref-sankaewtong2026tracing"/>
    <w:p>
      <w:pPr>
        <w:pStyle w:val="Bibliography"/>
      </w:pPr>
      <w:r>
        <w:t xml:space="preserve">Sankaewtong, Krongtum. 2026.</w:t>
      </w:r>
      <w:r>
        <w:t xml:space="preserve"> </w:t>
      </w:r>
      <w:r>
        <w:t xml:space="preserve">“Tracing Stablecoin Contagion During the</w:t>
      </w:r>
      <w:r>
        <w:t xml:space="preserve"> </w:t>
      </w:r>
      <w:r>
        <w:t xml:space="preserve">USDC</w:t>
      </w:r>
      <w:r>
        <w:t xml:space="preserve"> </w:t>
      </w:r>
      <w:r>
        <w:t xml:space="preserve">Depeg After the</w:t>
      </w:r>
      <w:r>
        <w:t xml:space="preserve"> </w:t>
      </w:r>
      <w:r>
        <w:t xml:space="preserve">Silicon Valley Bank</w:t>
      </w:r>
      <w:r>
        <w:t xml:space="preserve"> </w:t>
      </w:r>
      <w:r>
        <w:t xml:space="preserve">Collapse.”</w:t>
      </w:r>
      <w:r>
        <w:t xml:space="preserve"> </w:t>
      </w:r>
      <w:r>
        <w:t xml:space="preserve">arXiv:2606.07442.</w:t>
      </w:r>
    </w:p>
    <w:bookmarkEnd w:id="130"/>
    <w:bookmarkStart w:id="131" w:name="ref-spirtes2000causation"/>
    <w:p>
      <w:pPr>
        <w:pStyle w:val="Bibliography"/>
      </w:pPr>
      <w:r>
        <w:t xml:space="preserve">Spirtes, Peter, Clark Glymour, and Richard Scheines. 2000.</w:t>
      </w:r>
      <w:r>
        <w:t xml:space="preserve"> </w:t>
      </w:r>
      <w:r>
        <w:rPr>
          <w:iCs/>
          <w:i/>
        </w:rPr>
        <w:t xml:space="preserve">Causation, Prediction, and Search</w:t>
      </w:r>
      <w:r>
        <w:t xml:space="preserve">. 2nd ed. Cambridge, MA: MIT Press.</w:t>
      </w:r>
    </w:p>
    <w:bookmarkEnd w:id="131"/>
    <w:bookmarkStart w:id="132" w:name="ref-weber2019antimoney"/>
    <w:p>
      <w:pPr>
        <w:pStyle w:val="Bibliography"/>
      </w:pPr>
      <w:r>
        <w:t xml:space="preserve">Weber, Mark, Giacomo Domeniconi, Jie Chen, Daniel Karl I. Weidele, Claudio Bellei, Tom Robinson, and Charles E. Leiserson. 2019.</w:t>
      </w:r>
      <w:r>
        <w:t xml:space="preserve"> </w:t>
      </w:r>
      <w:r>
        <w:t xml:space="preserve">“Anti-Money Laundering in Bitcoin: Experimenting with Graph Convolutional Networks for Financial Forensics.”</w:t>
      </w:r>
      <w:r>
        <w:t xml:space="preserve"> </w:t>
      </w:r>
      <w:r>
        <w:t xml:space="preserve">arXiv:1908.02591.</w:t>
      </w:r>
    </w:p>
    <w:bookmarkEnd w:id="132"/>
    <w:bookmarkStart w:id="133" w:name="ref-xu2025counterfactual"/>
    <w:p>
      <w:pPr>
        <w:pStyle w:val="Bibliography"/>
      </w:pPr>
      <w:r>
        <w:t xml:space="preserve">Xu, Zhongyuan. 2025.</w:t>
      </w:r>
      <w:r>
        <w:t xml:space="preserve"> </w:t>
      </w:r>
      <w:r>
        <w:t xml:space="preserve">“Causal Inference in Financial Risk Management: Applications of Counterfactual Analysis in Credit Portfolios.”</w:t>
      </w:r>
      <w:r>
        <w:t xml:space="preserve"> </w:t>
      </w:r>
      <w:r>
        <w:rPr>
          <w:iCs/>
          <w:i/>
        </w:rPr>
        <w:t xml:space="preserve">Financial Engineering and Risk Management</w:t>
      </w:r>
      <w:r>
        <w:t xml:space="preserve"> </w:t>
      </w:r>
      <w:r>
        <w:t xml:space="preserve">8: 6–13.</w:t>
      </w:r>
    </w:p>
    <w:bookmarkEnd w:id="133"/>
    <w:bookmarkStart w:id="134" w:name="ref-zhang2026defi"/>
    <w:p>
      <w:pPr>
        <w:pStyle w:val="Bibliography"/>
      </w:pPr>
      <w:r>
        <w:t xml:space="preserve">Zhang, Shiyu, Zining Wang, Jin Zheng, and John Cartlidge. 2026.</w:t>
      </w:r>
      <w:r>
        <w:t xml:space="preserve"> </w:t>
      </w:r>
      <w:r>
        <w:t xml:space="preserve">“Systemic Risk in</w:t>
      </w:r>
      <w:r>
        <w:t xml:space="preserve"> </w:t>
      </w:r>
      <w:r>
        <w:t xml:space="preserve">DeFi</w:t>
      </w:r>
      <w:r>
        <w:t xml:space="preserve">: A Network-Based Fragility Analysis of</w:t>
      </w:r>
      <w:r>
        <w:t xml:space="preserve"> </w:t>
      </w:r>
      <w:r>
        <w:t xml:space="preserve">TVL</w:t>
      </w:r>
      <w:r>
        <w:t xml:space="preserve"> </w:t>
      </w:r>
      <w:r>
        <w:t xml:space="preserve">Dynamics.”</w:t>
      </w:r>
      <w:r>
        <w:t xml:space="preserve"> </w:t>
      </w:r>
      <w:r>
        <w:t xml:space="preserve">arXiv:2601.08540.</w:t>
      </w:r>
    </w:p>
    <w:bookmarkEnd w:id="134"/>
    <w:bookmarkEnd w:id="135"/>
    <w:bookmarkEnd w:id="1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event overviews and the minute-level liquidation mechanics,</w:t>
      </w:r>
      <w:r>
        <w:t xml:space="preserve"> </w:t>
      </w:r>
      <w:r>
        <w:t xml:space="preserve">see CoinDesk Research,</w:t>
      </w:r>
      <w:r>
        <w:t xml:space="preserve"> </w:t>
      </w:r>
      <w:hyperlink r:id="rId21">
        <w:r>
          <w:rPr>
            <w:rStyle w:val="Hyperlink"/>
          </w:rPr>
          <w:t xml:space="preserve">https://www.coindesk.com/research/market-spotlight-the-19-billion-liquidation-that-shook-crypto</w:t>
        </w:r>
      </w:hyperlink>
      <w:r>
        <w:t xml:space="preserve">;</w:t>
      </w:r>
      <w:r>
        <w:t xml:space="preserve"> </w:t>
      </w:r>
      <w:r>
        <w:t xml:space="preserve">CoinGecko,</w:t>
      </w:r>
      <w:r>
        <w:t xml:space="preserve"> </w:t>
      </w:r>
      <w:hyperlink r:id="rId22">
        <w:r>
          <w:rPr>
            <w:rStyle w:val="Hyperlink"/>
          </w:rPr>
          <w:t xml:space="preserve">https://www.coingecko.com/learn/october-10-crypto-crash-explained</w:t>
        </w:r>
      </w:hyperlink>
      <w:r>
        <w:t xml:space="preserve">;</w:t>
      </w:r>
      <w:r>
        <w:t xml:space="preserve"> </w:t>
      </w:r>
      <w:r>
        <w:t xml:space="preserve">and FTI Consulting,</w:t>
      </w:r>
      <w:r>
        <w:t xml:space="preserve"> </w:t>
      </w:r>
      <w:hyperlink r:id="rId23">
        <w:r>
          <w:rPr>
            <w:rStyle w:val="Hyperlink"/>
          </w:rPr>
          <w:t xml:space="preserve">https://www.fticonsulting.com/insights/articles/crypto-crash-october-2025-leverage-met-liquidity</w:t>
        </w:r>
      </w:hyperlink>
      <w:r>
        <w:t xml:space="preserve">.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proximate</w:t>
      </w:r>
      <w:r>
        <w:t xml:space="preserve"> </w:t>
      </w:r>
      <w:r>
        <w:t xml:space="preserve">trigger has been attributed to Binance’s unified-account margin system, which</w:t>
      </w:r>
      <w:r>
        <w:t xml:space="preserve"> </w:t>
      </w:r>
      <w:r>
        <w:t xml:space="preserve">valued posted collateral (including USDe, wBETH and BNSOL) using its own</w:t>
      </w:r>
      <w:r>
        <w:t xml:space="preserve"> </w:t>
      </w:r>
      <w:r>
        <w:t xml:space="preserve">internal spot prices rather than external oracles; see</w:t>
      </w:r>
      <w:r>
        <w:t xml:space="preserve"> </w:t>
      </w:r>
      <w:hyperlink r:id="rId25">
        <w:r>
          <w:rPr>
            <w:rStyle w:val="Hyperlink"/>
          </w:rPr>
          <w:t xml:space="preserve">https://www.ccn.com/education/crypto/ethena-usde-depeg-binance-crash-explained/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https://ambcrypto.com/not-a-true-depeg-says-ethena-founder-as-usde-faces-binance-only-slip/</w:t>
        </w:r>
      </w:hyperlink>
      <w:r>
        <w:t xml:space="preserve">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USDe’s price fell to roughly $0.65 on Binance while holding</w:t>
      </w:r>
      <w:r>
        <w:t xml:space="preserve"> </w:t>
      </w:r>
      <w:r>
        <w:t xml:space="preserve">near $1 on other venues and in DeFi, and remained redeemable as supply</w:t>
      </w:r>
      <w:r>
        <w:t xml:space="preserve"> </w:t>
      </w:r>
      <w:r>
        <w:t xml:space="preserve">contracted from about $9bn to $6bn, confirming an exchange-specific pricing</w:t>
      </w:r>
      <w:r>
        <w:t xml:space="preserve"> </w:t>
      </w:r>
      <w:r>
        <w:t xml:space="preserve">artefact rather than insolvency; see CoinDesk,</w:t>
      </w:r>
      <w:r>
        <w:t xml:space="preserve"> </w:t>
      </w:r>
      <w:hyperlink r:id="rId28">
        <w:r>
          <w:rPr>
            <w:rStyle w:val="Hyperlink"/>
          </w:rPr>
          <w:t xml:space="preserve">https://www.coindesk.com/markets/2025/10/11/ethena-s-usde-briefly-loses-peg-during-usd19b-crypto-liquidation-cascade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https://www.coindesk.com/markets/2025/10/13/no-ethena-s-usde-didn-t-de-peg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df" /><Relationship Type="http://schemas.openxmlformats.org/officeDocument/2006/relationships/image" Id="rId77" Target="media/rId77.pdf" /><Relationship Type="http://schemas.openxmlformats.org/officeDocument/2006/relationships/image" Id="rId53" Target="media/rId53.pdf" /><Relationship Type="http://schemas.openxmlformats.org/officeDocument/2006/relationships/image" Id="rId57" Target="media/rId57.pdf" /><Relationship Type="http://schemas.openxmlformats.org/officeDocument/2006/relationships/image" Id="rId65" Target="media/rId65.pdf" /><Relationship Type="http://schemas.openxmlformats.org/officeDocument/2006/relationships/image" Id="rId62" Target="media/rId62.pdf" /><Relationship Type="http://schemas.openxmlformats.org/officeDocument/2006/relationships/image" Id="rId81" Target="media/rId81.pdf" /><Relationship Type="http://schemas.openxmlformats.org/officeDocument/2006/relationships/image" Id="rId72" Target="media/rId72.pdf" /><Relationship Type="http://schemas.openxmlformats.org/officeDocument/2006/relationships/image" Id="rId45" Target="media/rId45.pdf" /><Relationship Type="http://schemas.openxmlformats.org/officeDocument/2006/relationships/image" Id="rId41" Target="media/rId41.pdf" /><Relationship Type="http://schemas.openxmlformats.org/officeDocument/2006/relationships/hyperlink" Id="rId26" Target="https://ambcrypto.com/not-a-true-depeg-says-ethena-founder-as-usde-faces-binance-only-slip/" TargetMode="External" /><Relationship Type="http://schemas.openxmlformats.org/officeDocument/2006/relationships/hyperlink" Id="rId127" Target="https://doi.org/10.1016/j.irfa.2023.102764" TargetMode="External" /><Relationship Type="http://schemas.openxmlformats.org/officeDocument/2006/relationships/hyperlink" Id="rId108" Target="https://doi.org/10.1016/j.jeconom.2014.04.012" TargetMode="External" /><Relationship Type="http://schemas.openxmlformats.org/officeDocument/2006/relationships/hyperlink" Id="rId101" Target="https://doi.org/10.1016/j.jfineco.2011.12.010" TargetMode="External" /><Relationship Type="http://schemas.openxmlformats.org/officeDocument/2006/relationships/hyperlink" Id="rId123" Target="https://doi.org/10.1017/CBO9780511803161" TargetMode="External" /><Relationship Type="http://schemas.openxmlformats.org/officeDocument/2006/relationships/hyperlink" Id="rId94" Target="https://doi.org/10.1093/rfs/hhw088" TargetMode="External" /><Relationship Type="http://schemas.openxmlformats.org/officeDocument/2006/relationships/hyperlink" Id="rId105" Target="https://doi.org/10.1111/rssb.12348" TargetMode="External" /><Relationship Type="http://schemas.openxmlformats.org/officeDocument/2006/relationships/hyperlink" Id="rId121" Target="https://doi.org/10.1145/2504730.2504747" TargetMode="External" /><Relationship Type="http://schemas.openxmlformats.org/officeDocument/2006/relationships/hyperlink" Id="rId125" Target="https://doi.org/10.1145/3241036" TargetMode="External" /><Relationship Type="http://schemas.openxmlformats.org/officeDocument/2006/relationships/hyperlink" Id="rId116" Target="https://doi.org/10.1145/3736752" TargetMode="External" /><Relationship Type="http://schemas.openxmlformats.org/officeDocument/2006/relationships/hyperlink" Id="rId96" Target="https://doi.org/10.1257/aer.20120555" TargetMode="External" /><Relationship Type="http://schemas.openxmlformats.org/officeDocument/2006/relationships/hyperlink" Id="rId114" Target="https://doi.org/10.2307/1912791" TargetMode="External" /><Relationship Type="http://schemas.openxmlformats.org/officeDocument/2006/relationships/hyperlink" Id="rId103" Target="https://doi.org/10.2307/2527341" TargetMode="External" /><Relationship Type="http://schemas.openxmlformats.org/officeDocument/2006/relationships/hyperlink" Id="rId112" Target="https://doi.org/10.3390/risks6030095" TargetMode="External" /><Relationship Type="http://schemas.openxmlformats.org/officeDocument/2006/relationships/hyperlink" Id="rId118" Target="https://doi.org/10.3905/jod.1995.407942" TargetMode="External" /><Relationship Type="http://schemas.openxmlformats.org/officeDocument/2006/relationships/hyperlink" Id="rId25" Target="https://www.ccn.com/education/crypto/ethena-usde-depeg-binance-crash-explained/" TargetMode="External" /><Relationship Type="http://schemas.openxmlformats.org/officeDocument/2006/relationships/hyperlink" Id="rId28" Target="https://www.coindesk.com/markets/2025/10/11/ethena-s-usde-briefly-loses-peg-during-usd19b-crypto-liquidation-cascade" TargetMode="External" /><Relationship Type="http://schemas.openxmlformats.org/officeDocument/2006/relationships/hyperlink" Id="rId29" Target="https://www.coindesk.com/markets/2025/10/13/no-ethena-s-usde-didn-t-de-peg" TargetMode="External" /><Relationship Type="http://schemas.openxmlformats.org/officeDocument/2006/relationships/hyperlink" Id="rId21" Target="https://www.coindesk.com/research/market-spotlight-the-19-billion-liquidation-that-shook-crypto" TargetMode="External" /><Relationship Type="http://schemas.openxmlformats.org/officeDocument/2006/relationships/hyperlink" Id="rId22" Target="https://www.coingecko.com/learn/october-10-crypto-crash-explained" TargetMode="External" /><Relationship Type="http://schemas.openxmlformats.org/officeDocument/2006/relationships/hyperlink" Id="rId23" Target="https://www.fticonsulting.com/insights/articles/crypto-crash-october-2025-leverage-met-liquid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mbcrypto.com/not-a-true-depeg-says-ethena-founder-as-usde-faces-binance-only-slip/" TargetMode="External" /><Relationship Type="http://schemas.openxmlformats.org/officeDocument/2006/relationships/hyperlink" Id="rId127" Target="https://doi.org/10.1016/j.irfa.2023.102764" TargetMode="External" /><Relationship Type="http://schemas.openxmlformats.org/officeDocument/2006/relationships/hyperlink" Id="rId108" Target="https://doi.org/10.1016/j.jeconom.2014.04.012" TargetMode="External" /><Relationship Type="http://schemas.openxmlformats.org/officeDocument/2006/relationships/hyperlink" Id="rId101" Target="https://doi.org/10.1016/j.jfineco.2011.12.010" TargetMode="External" /><Relationship Type="http://schemas.openxmlformats.org/officeDocument/2006/relationships/hyperlink" Id="rId123" Target="https://doi.org/10.1017/CBO9780511803161" TargetMode="External" /><Relationship Type="http://schemas.openxmlformats.org/officeDocument/2006/relationships/hyperlink" Id="rId94" Target="https://doi.org/10.1093/rfs/hhw088" TargetMode="External" /><Relationship Type="http://schemas.openxmlformats.org/officeDocument/2006/relationships/hyperlink" Id="rId105" Target="https://doi.org/10.1111/rssb.12348" TargetMode="External" /><Relationship Type="http://schemas.openxmlformats.org/officeDocument/2006/relationships/hyperlink" Id="rId121" Target="https://doi.org/10.1145/2504730.2504747" TargetMode="External" /><Relationship Type="http://schemas.openxmlformats.org/officeDocument/2006/relationships/hyperlink" Id="rId125" Target="https://doi.org/10.1145/3241036" TargetMode="External" /><Relationship Type="http://schemas.openxmlformats.org/officeDocument/2006/relationships/hyperlink" Id="rId116" Target="https://doi.org/10.1145/3736752" TargetMode="External" /><Relationship Type="http://schemas.openxmlformats.org/officeDocument/2006/relationships/hyperlink" Id="rId96" Target="https://doi.org/10.1257/aer.20120555" TargetMode="External" /><Relationship Type="http://schemas.openxmlformats.org/officeDocument/2006/relationships/hyperlink" Id="rId114" Target="https://doi.org/10.2307/1912791" TargetMode="External" /><Relationship Type="http://schemas.openxmlformats.org/officeDocument/2006/relationships/hyperlink" Id="rId103" Target="https://doi.org/10.2307/2527341" TargetMode="External" /><Relationship Type="http://schemas.openxmlformats.org/officeDocument/2006/relationships/hyperlink" Id="rId112" Target="https://doi.org/10.3390/risks6030095" TargetMode="External" /><Relationship Type="http://schemas.openxmlformats.org/officeDocument/2006/relationships/hyperlink" Id="rId118" Target="https://doi.org/10.3905/jod.1995.407942" TargetMode="External" /><Relationship Type="http://schemas.openxmlformats.org/officeDocument/2006/relationships/hyperlink" Id="rId25" Target="https://www.ccn.com/education/crypto/ethena-usde-depeg-binance-crash-explained/" TargetMode="External" /><Relationship Type="http://schemas.openxmlformats.org/officeDocument/2006/relationships/hyperlink" Id="rId28" Target="https://www.coindesk.com/markets/2025/10/11/ethena-s-usde-briefly-loses-peg-during-usd19b-crypto-liquidation-cascade" TargetMode="External" /><Relationship Type="http://schemas.openxmlformats.org/officeDocument/2006/relationships/hyperlink" Id="rId29" Target="https://www.coindesk.com/markets/2025/10/13/no-ethena-s-usde-didn-t-de-peg" TargetMode="External" /><Relationship Type="http://schemas.openxmlformats.org/officeDocument/2006/relationships/hyperlink" Id="rId21" Target="https://www.coindesk.com/research/market-spotlight-the-19-billion-liquidation-that-shook-crypto" TargetMode="External" /><Relationship Type="http://schemas.openxmlformats.org/officeDocument/2006/relationships/hyperlink" Id="rId22" Target="https://www.coingecko.com/learn/october-10-crypto-crash-explained" TargetMode="External" /><Relationship Type="http://schemas.openxmlformats.org/officeDocument/2006/relationships/hyperlink" Id="rId23" Target="https://www.fticonsulting.com/insights/articles/crypto-crash-october-2025-leverage-met-liquid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VEIN: On-Chain Causal Risk Attribution for Cryptocurrency Systemic Risk</dc:title>
  <dc:creator/>
  <cp:keywords/>
  <dcterms:created xsi:type="dcterms:W3CDTF">2026-07-02T01:42:54Z</dcterms:created>
  <dcterms:modified xsi:type="dcterms:W3CDTF">2026-07-02T01:42:54Z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reference-section-title">
    <vt:lpwstr>References</vt:lpwstr>
  </property>
</Properties>
</file>