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df" ContentType="application/pdf"/>
  <Override PartName="/word/media/rId56.pdf" ContentType="application/pdf"/>
  <Override PartName="/word/media/rId53.pdf" ContentType="application/pdf"/>
  <Override PartName="/word/media/rId59.pdf" ContentType="application/pdf"/>
  <Override PartName="/word/media/rId39.pdf" ContentType="application/pdf"/>
  <Override PartName="/word/media/rId36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Counterfactual</w:t>
      </w:r>
      <w:r>
        <w:t xml:space="preserve"> </w:t>
      </w:r>
      <w:r>
        <w:t xml:space="preserve">Attribution</w:t>
      </w:r>
      <w:r>
        <w:t xml:space="preserve"> </w:t>
      </w:r>
      <w:r>
        <w:t xml:space="preserve">of</w:t>
      </w:r>
      <w:r>
        <w:t xml:space="preserve"> </w:t>
      </w:r>
      <w:r>
        <w:t xml:space="preserve">Crypto</w:t>
      </w:r>
      <w:r>
        <w:t xml:space="preserve"> </w:t>
      </w:r>
      <w:r>
        <w:t xml:space="preserve">Systemic</w:t>
      </w:r>
      <w:r>
        <w:t xml:space="preserve"> </w:t>
      </w:r>
      <w:r>
        <w:t xml:space="preserve">Stress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Auditable</w:t>
      </w:r>
      <w:r>
        <w:t xml:space="preserve"> </w:t>
      </w:r>
      <w:r>
        <w:t xml:space="preserve">On-Chain</w:t>
      </w:r>
      <w:r>
        <w:t xml:space="preserve"> </w:t>
      </w:r>
      <w:r>
        <w:t xml:space="preserve">Graph</w:t>
      </w:r>
    </w:p>
    <w:p>
      <w:pPr>
        <w:pStyle w:val="Author"/>
      </w:pPr>
      <w:r>
        <w:t xml:space="preserve">Anonymous</w:t>
      </w:r>
    </w:p>
    <w:bookmarkStart w:id="22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On 10–11 October 2025 cryptocurrency markets experienced one of the largest</w:t>
      </w:r>
      <w:r>
        <w:t xml:space="preserve"> </w:t>
      </w:r>
      <w:r>
        <w:t xml:space="preserve">deleveraging episodes on record, with on the order of nineteen billion US dollars of</w:t>
      </w:r>
      <w:r>
        <w:t xml:space="preserve"> </w:t>
      </w:r>
      <w:r>
        <w:t xml:space="preserve">leveraged positions liquidated within about thirty-six hours.</w:t>
      </w:r>
      <w:r>
        <w:rPr>
          <w:rStyle w:val="FootnoteReference"/>
        </w:rPr>
        <w:footnoteReference w:id="20"/>
      </w:r>
      <w:r>
        <w:t xml:space="preserve"> </w:t>
      </w:r>
      <w:r>
        <w:t xml:space="preserve">Post-mortems</w:t>
      </w:r>
      <w:r>
        <w:t xml:space="preserve"> </w:t>
      </w:r>
      <w:r>
        <w:t xml:space="preserve">(Ali 2025; Lim 2026)</w:t>
      </w:r>
      <w:r>
        <w:t xml:space="preserve"> </w:t>
      </w:r>
      <w:r>
        <w:t xml:space="preserve">describe a largely mechanical cascade:</w:t>
      </w:r>
      <w:r>
        <w:t xml:space="preserve"> </w:t>
      </w:r>
      <w:r>
        <w:t xml:space="preserve">a mispricing in a centralised exchange’s collateral valuation triggered liquidations,</w:t>
      </w:r>
      <w:r>
        <w:t xml:space="preserve"> </w:t>
      </w:r>
      <w:r>
        <w:t xml:space="preserve">which forced sales and further liquidations. Over-collateralised decentralised-finance</w:t>
      </w:r>
      <w:r>
        <w:t xml:space="preserve"> </w:t>
      </w:r>
      <w:r>
        <w:t xml:space="preserve">(DeFi) lending protocols such as Aave recorded essentially no bad debt, whereas</w:t>
      </w:r>
      <w:r>
        <w:t xml:space="preserve"> </w:t>
      </w:r>
      <w:r>
        <w:t xml:space="preserve">centralised-exchange (CEX) risk engines amplified the shock. The episode left a</w:t>
      </w:r>
      <w:r>
        <w:t xml:space="preserve"> </w:t>
      </w:r>
      <w:r>
        <w:t xml:space="preserve">high-resolution on-chain footprint of liquidation transfers, collateral movements and</w:t>
      </w:r>
      <w:r>
        <w:t xml:space="preserve"> </w:t>
      </w:r>
      <w:r>
        <w:t xml:space="preserve">exchange flows, timestamped to the block.</w:t>
      </w:r>
    </w:p>
    <w:p>
      <w:pPr>
        <w:pStyle w:val="BodyText"/>
      </w:pPr>
      <w:r>
        <w:t xml:space="preserve">The standard systemic-risk tools are associational.</w:t>
      </w:r>
      <w:r>
        <w:t xml:space="preserve"> </w:t>
      </w:r>
      <m:oMath>
        <m:r>
          <m:t>Δ</m:t>
        </m:r>
      </m:oMath>
      <w:r>
        <w:t xml:space="preserve">CoVaR</w:t>
      </w:r>
      <w:r>
        <w:t xml:space="preserve"> </w:t>
      </w:r>
      <w:r>
        <w:t xml:space="preserve">(Adrian and Brunnermeier 2016)</w:t>
      </w:r>
      <w:r>
        <w:t xml:space="preserve">,</w:t>
      </w:r>
      <w:r>
        <w:t xml:space="preserve"> </w:t>
      </w:r>
      <w:r>
        <w:t xml:space="preserve">marginal expected shortfall and SRISK</w:t>
      </w:r>
      <w:r>
        <w:t xml:space="preserve"> </w:t>
      </w:r>
      <w:r>
        <w:t xml:space="preserve">(Acharya et al. 2017)</w:t>
      </w:r>
      <w:r>
        <w:t xml:space="preserve">, and connectedness</w:t>
      </w:r>
      <w:r>
        <w:t xml:space="preserve"> </w:t>
      </w:r>
      <w:r>
        <w:t xml:space="preserve">measures</w:t>
      </w:r>
      <w:r>
        <w:t xml:space="preserve"> </w:t>
      </w:r>
      <w:r>
        <w:t xml:space="preserve">(Diebold and Yılmaz 2014; Billio et al. 2012)</w:t>
      </w:r>
      <w:r>
        <w:t xml:space="preserve"> </w:t>
      </w:r>
      <w:r>
        <w:t xml:space="preserve">quantify co-movement in</w:t>
      </w:r>
      <w:r>
        <w:t xml:space="preserve"> </w:t>
      </w:r>
      <w:r>
        <w:t xml:space="preserve">returns, and a survey of causal inference in finance finds that applications around</w:t>
      </w:r>
      <w:r>
        <w:t xml:space="preserve"> </w:t>
      </w:r>
      <w:r>
        <w:t xml:space="preserve">these measures remain associational or Granger-based</w:t>
      </w:r>
      <w:r>
        <w:t xml:space="preserve"> </w:t>
      </w:r>
      <w:r>
        <w:t xml:space="preserve">(Kumar et al. 2025)</w:t>
      </w:r>
      <w:r>
        <w:t xml:space="preserve">. Where</w:t>
      </w:r>
      <w:r>
        <w:t xml:space="preserve"> </w:t>
      </w:r>
      <w:r>
        <w:t xml:space="preserve">causality has been added, the contagion graph is still estimated from prices</w:t>
      </w:r>
      <w:r>
        <w:t xml:space="preserve"> </w:t>
      </w:r>
      <w:r>
        <w:t xml:space="preserve">(Rigana, Wit, and Cook 2024, 2023; Etesami, Habibnia, and Kiyavash 2023; Giudici and Parisi 2018)</w:t>
      </w:r>
      <w:r>
        <w:t xml:space="preserve">. Shapley-value</w:t>
      </w:r>
      <w:r>
        <w:t xml:space="preserve"> </w:t>
      </w:r>
      <w:r>
        <w:t xml:space="preserve">risk attribution</w:t>
      </w:r>
      <w:r>
        <w:t xml:space="preserve"> </w:t>
      </w:r>
      <w:r>
        <w:t xml:space="preserve">(Tarashev, Borio, and Tsatsaronis 2016)</w:t>
      </w:r>
      <w:r>
        <w:t xml:space="preserve"> </w:t>
      </w:r>
      <w:r>
        <w:t xml:space="preserve">and causal Shapley methods</w:t>
      </w:r>
      <w:r>
        <w:t xml:space="preserve"> </w:t>
      </w:r>
      <w:r>
        <w:t xml:space="preserve">(Heskes et al. 2020; Singal, Michailidis, and Ng 2021)</w:t>
      </w:r>
      <w:r>
        <w:t xml:space="preserve"> </w:t>
      </w:r>
      <w:r>
        <w:t xml:space="preserve">come closest in spirit, but they do not take an observed</w:t>
      </w:r>
      <w:r>
        <w:t xml:space="preserve"> </w:t>
      </w:r>
      <w:r>
        <w:t xml:space="preserve">transaction ledger as the causal structure of a systemic-risk measure (Section </w:t>
      </w:r>
      <w:hyperlink w:anchor="sec:related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pStyle w:val="BodyText"/>
      </w:pPr>
      <w:r>
        <w:t xml:space="preserve">We make three contributions. First, VEIN treats the entity-resolved transaction graph as</w:t>
      </w:r>
      <w:r>
        <w:t xml:space="preserve"> </w:t>
      </w:r>
      <w:r>
        <w:t xml:space="preserve">an</w:t>
      </w:r>
      <w:r>
        <w:t xml:space="preserve"> </w:t>
      </w:r>
      <w:r>
        <w:rPr>
          <w:iCs/>
          <w:i/>
        </w:rPr>
        <w:t xml:space="preserve">auditable candidate structural skeleton</w:t>
      </w:r>
      <w:r>
        <w:t xml:space="preserve">: under the assumptions A1–A3</w:t>
      </w:r>
      <w:r>
        <w:t xml:space="preserve"> </w:t>
      </w:r>
      <w:r>
        <w:t xml:space="preserve">(Section </w:t>
      </w:r>
      <w:hyperlink w:anchor="sec:method">
        <w:r>
          <w:rPr>
            <w:rStyle w:val="Hyperlink"/>
          </w:rPr>
          <w:t xml:space="preserve">3</w:t>
        </w:r>
      </w:hyperlink>
      <w:r>
        <w:t xml:space="preserve">), the in-neighbours of each entity specify its parent set in a</w:t>
      </w:r>
      <w:r>
        <w:t xml:space="preserve"> </w:t>
      </w:r>
      <w:r>
        <w:t xml:space="preserve">Pearl SCM rather than a set inferred from correlations. Second, we define On-Chain Causal</w:t>
      </w:r>
      <w:r>
        <w:t xml:space="preserve"> </w:t>
      </w:r>
      <w:r>
        <w:t xml:space="preserve">CoVaR (OC-CoVaR), an interventional measure, and a counterfactual attribution of realised</w:t>
      </w:r>
      <w:r>
        <w:t xml:space="preserve"> </w:t>
      </w:r>
      <w:r>
        <w:t xml:space="preserve">loss. We prove that the interventional effect is a pure network multiplier, derive</w:t>
      </w:r>
      <w:r>
        <w:t xml:space="preserve"> </w:t>
      </w:r>
      <w:r>
        <w:t xml:space="preserve">flow-free bounds, and give a closed-form walk decomposition of the linear Shapley</w:t>
      </w:r>
      <w:r>
        <w:t xml:space="preserve"> </w:t>
      </w:r>
      <w:r>
        <w:t xml:space="preserve">attribution together with an exact subset algorithm (Propositions </w:t>
      </w:r>
      <w:hyperlink w:anchor="prop:A">
        <w:r>
          <w:rPr>
            <w:rStyle w:val="Hyperlink"/>
          </w:rPr>
          <w:t xml:space="preserve">2</w:t>
        </w:r>
      </w:hyperlink>
      <w:r>
        <w:t xml:space="preserve">–</w:t>
      </w:r>
      <w:hyperlink w:anchor="prop:C">
        <w:r>
          <w:rPr>
            <w:rStyle w:val="Hyperlink"/>
          </w:rPr>
          <w:t xml:space="preserve">4</w:t>
        </w:r>
      </w:hyperlink>
      <w:r>
        <w:t xml:space="preserve">).</w:t>
      </w:r>
      <w:r>
        <w:t xml:space="preserve"> </w:t>
      </w:r>
      <w:r>
        <w:t xml:space="preserve">Third, we implement the pipeline, including a four-tier entity-resolution layer, apply it to</w:t>
      </w:r>
      <w:r>
        <w:t xml:space="preserve"> </w:t>
      </w:r>
      <w:r>
        <w:t xml:space="preserve">the October 2025 event (with FTX and USDC/SVB as additional episodes), and test the</w:t>
      </w:r>
      <w:r>
        <w:t xml:space="preserve"> </w:t>
      </w:r>
      <w:r>
        <w:t xml:space="preserve">directional assumption by edge reversal and the graph source against price-estimated graphs.</w:t>
      </w:r>
      <w:r>
        <w:t xml:space="preserve"> </w:t>
      </w:r>
      <w:r>
        <w:t xml:space="preserve">The output is an entity ranking and a loss decomposition that a supervisor can trace to</w:t>
      </w:r>
      <w:r>
        <w:t xml:space="preserve"> </w:t>
      </w:r>
      <w:r>
        <w:t xml:space="preserve">public ledger records and an explicit model, which is the property that price-based</w:t>
      </w:r>
      <w:r>
        <w:t xml:space="preserve"> </w:t>
      </w:r>
      <w:r>
        <w:t xml:space="preserve">measures lack.</w:t>
      </w:r>
    </w:p>
    <w:bookmarkEnd w:id="22"/>
    <w:bookmarkStart w:id="23" w:name="sec:related"/>
    <w:p>
      <w:pPr>
        <w:pStyle w:val="Heading1"/>
      </w:pPr>
      <w:r>
        <w:t xml:space="preserve">Related Work and Positioning</w:t>
      </w:r>
    </w:p>
    <w:p>
      <w:pPr>
        <w:pStyle w:val="FirstParagraph"/>
      </w:pPr>
      <w:r>
        <w:rPr>
          <w:iCs/>
          <w:i/>
        </w:rPr>
        <w:t xml:space="preserve">Associational measures.</w:t>
      </w:r>
      <w:r>
        <w:t xml:space="preserve"> </w:t>
      </w:r>
      <m:oMath>
        <m:r>
          <m:t>Δ</m:t>
        </m:r>
      </m:oMath>
      <w:r>
        <w:t xml:space="preserve">CoVaR</w:t>
      </w:r>
      <w:r>
        <w:t xml:space="preserve"> </w:t>
      </w:r>
      <w:r>
        <w:t xml:space="preserve">(Adrian and Brunnermeier 2016)</w:t>
      </w:r>
      <w:r>
        <w:t xml:space="preserve"> </w:t>
      </w:r>
      <w:r>
        <w:t xml:space="preserve">is the change in</w:t>
      </w:r>
      <w:r>
        <w:t xml:space="preserve"> </w:t>
      </w:r>
      <w:r>
        <w:t xml:space="preserve">system value-at-risk when an institution moves from its median state to distress. The</w:t>
      </w:r>
      <w:r>
        <w:t xml:space="preserve"> </w:t>
      </w:r>
      <w:r>
        <w:t xml:space="preserve">SRISK and MES family</w:t>
      </w:r>
      <w:r>
        <w:t xml:space="preserve"> </w:t>
      </w:r>
      <w:r>
        <w:t xml:space="preserve">(Acharya et al. 2017)</w:t>
      </w:r>
      <w:r>
        <w:t xml:space="preserve"> </w:t>
      </w:r>
      <w:r>
        <w:t xml:space="preserve">and connectedness measures</w:t>
      </w:r>
      <w:r>
        <w:t xml:space="preserve"> </w:t>
      </w:r>
      <w:r>
        <w:t xml:space="preserve">(Diebold and Yılmaz 2014; Billio et al. 2012)</w:t>
      </w:r>
      <w:r>
        <w:t xml:space="preserve"> </w:t>
      </w:r>
      <w:r>
        <w:t xml:space="preserve">describe spillovers in returns. They</w:t>
      </w:r>
      <w:r>
        <w:t xml:space="preserve"> </w:t>
      </w:r>
      <w:r>
        <w:t xml:space="preserve">describe co-movement rather than mechanism, which is the gap the causal survey of</w:t>
      </w:r>
      <w:r>
        <w:t xml:space="preserve"> </w:t>
      </w:r>
      <w:r>
        <w:t xml:space="preserve">Kumar et al. (2025)</w:t>
      </w:r>
      <w:r>
        <w:t xml:space="preserve"> </w:t>
      </w:r>
      <w:r>
        <w:t xml:space="preserve">also documents.</w:t>
      </w:r>
    </w:p>
    <w:p>
      <w:pPr>
        <w:pStyle w:val="BodyText"/>
      </w:pPr>
      <w:r>
        <w:rPr>
          <w:iCs/>
          <w:i/>
        </w:rPr>
        <w:t xml:space="preserve">Estimated causal graphs.</w:t>
      </w:r>
      <w:r>
        <w:t xml:space="preserve"> </w:t>
      </w:r>
      <w:r>
        <w:t xml:space="preserve">Causal-NECO VaR</w:t>
      </w:r>
      <w:r>
        <w:t xml:space="preserve"> </w:t>
      </w:r>
      <w:r>
        <w:t xml:space="preserve">(Rigana, Wit, and Cook 2024)</w:t>
      </w:r>
      <w:r>
        <w:t xml:space="preserve"> </w:t>
      </w:r>
      <w:r>
        <w:t xml:space="preserve">learns the graph</w:t>
      </w:r>
      <w:r>
        <w:t xml:space="preserve"> </w:t>
      </w:r>
      <w:r>
        <w:t xml:space="preserve">with the PC-stable algorithm</w:t>
      </w:r>
      <w:r>
        <w:t xml:space="preserve"> </w:t>
      </w:r>
      <w:r>
        <w:t xml:space="preserve">(Colombo and Maathuis 2014)</w:t>
      </w:r>
      <w:r>
        <w:t xml:space="preserve"> </w:t>
      </w:r>
      <w:r>
        <w:t xml:space="preserve">and computes a Gaussian VaR from the</w:t>
      </w:r>
      <w:r>
        <w:t xml:space="preserve"> </w:t>
      </w:r>
      <w:r>
        <w:t xml:space="preserve">resulting structural model</w:t>
      </w:r>
      <w:r>
        <w:t xml:space="preserve"> </w:t>
      </w:r>
      <w:r>
        <w:t xml:space="preserve">(Rigana, Wit, and Cook 2023; Spirtes, Glymour, and Scheines 2000)</w:t>
      </w:r>
      <w:r>
        <w:t xml:space="preserve">. It operates at</w:t>
      </w:r>
      <w:r>
        <w:t xml:space="preserve"> </w:t>
      </w:r>
      <w:r>
        <w:t xml:space="preserve">Pearl Levels 1–2 on foreign-exchange data and estimates its graph. The time-varying</w:t>
      </w:r>
      <w:r>
        <w:t xml:space="preserve"> </w:t>
      </w:r>
      <w:r>
        <w:t xml:space="preserve">directed-information graph of</w:t>
      </w:r>
      <w:r>
        <w:t xml:space="preserve"> </w:t>
      </w:r>
      <w:r>
        <w:t xml:space="preserve">Etesami, Habibnia, and Kiyavash (2023)</w:t>
      </w:r>
      <w:r>
        <w:t xml:space="preserve"> </w:t>
      </w:r>
      <w:r>
        <w:t xml:space="preserve">is the nearest crypto application.</w:t>
      </w:r>
      <w:r>
        <w:t xml:space="preserve"> </w:t>
      </w:r>
      <w:r>
        <w:t xml:space="preserve">Directed information generalises Granger causality</w:t>
      </w:r>
      <w:r>
        <w:t xml:space="preserve"> </w:t>
      </w:r>
      <w:r>
        <w:t xml:space="preserve">(Granger 1969)</w:t>
      </w:r>
      <w:r>
        <w:t xml:space="preserve"> </w:t>
      </w:r>
      <w:r>
        <w:t xml:space="preserve">but is not a Pearl</w:t>
      </w:r>
      <w:r>
        <w:t xml:space="preserve"> </w:t>
      </w:r>
      <w:r>
        <w:t xml:space="preserve">SCM with do-operator semantics, and both approaches are built from returns. CoRisk</w:t>
      </w:r>
      <w:r>
        <w:t xml:space="preserve"> </w:t>
      </w:r>
      <w:r>
        <w:t xml:space="preserve">(Giudici and Parisi 2018)</w:t>
      </w:r>
      <w:r>
        <w:t xml:space="preserve"> </w:t>
      </w:r>
      <w:r>
        <w:t xml:space="preserve">decomposes risk on a correlation network. Crypto composite</w:t>
      </w:r>
      <w:r>
        <w:t xml:space="preserve"> </w:t>
      </w:r>
      <w:r>
        <w:t xml:space="preserve">indices</w:t>
      </w:r>
      <w:r>
        <w:t xml:space="preserve"> </w:t>
      </w:r>
      <w:r>
        <w:t xml:space="preserve">(Farzulla and Maksakov 2026)</w:t>
      </w:r>
      <w:r>
        <w:t xml:space="preserve"> </w:t>
      </w:r>
      <w:r>
        <w:t xml:space="preserve">and TradFi–DeFi mappings</w:t>
      </w:r>
      <w:r>
        <w:t xml:space="preserve"> </w:t>
      </w:r>
      <w:r>
        <w:t xml:space="preserve">(Aufiero et al. 2025)</w:t>
      </w:r>
      <w:r>
        <w:t xml:space="preserve"> </w:t>
      </w:r>
      <w:r>
        <w:t xml:space="preserve">either estimate networks from prices or describe the on-chain graph without a causal</w:t>
      </w:r>
      <w:r>
        <w:t xml:space="preserve"> </w:t>
      </w:r>
      <w:r>
        <w:t xml:space="preserve">model.</w:t>
      </w:r>
    </w:p>
    <w:p>
      <w:pPr>
        <w:pStyle w:val="BodyText"/>
      </w:pPr>
      <w:r>
        <w:rPr>
          <w:iCs/>
          <w:i/>
        </w:rPr>
        <w:t xml:space="preserve">Shapley attribution and causal Shapley values.</w:t>
      </w:r>
      <w:r>
        <w:t xml:space="preserve"> </w:t>
      </w:r>
      <w:r>
        <w:t xml:space="preserve">Tarashev, Borio, and Tsatsaronis (2016)</w:t>
      </w:r>
      <w:r>
        <w:t xml:space="preserve"> </w:t>
      </w:r>
      <w:r>
        <w:t xml:space="preserve">allocate system-wide risk to institutions with the Shapley value, and</w:t>
      </w:r>
      <w:r>
        <w:t xml:space="preserve"> </w:t>
      </w:r>
      <w:r>
        <w:t xml:space="preserve">Drehmann and Tarashev (2013)</w:t>
      </w:r>
      <w:r>
        <w:t xml:space="preserve"> </w:t>
      </w:r>
      <w:r>
        <w:t xml:space="preserve">measure the systemic importance of interconnected banks.</w:t>
      </w:r>
      <w:r>
        <w:t xml:space="preserve"> </w:t>
      </w:r>
      <w:r>
        <w:t xml:space="preserve">These allocations use exposures or portfolio losses rather than a causal model of</w:t>
      </w:r>
      <w:r>
        <w:t xml:space="preserve"> </w:t>
      </w:r>
      <w:r>
        <w:t xml:space="preserve">propagation. Causal Shapley values</w:t>
      </w:r>
      <w:r>
        <w:t xml:space="preserve"> </w:t>
      </w:r>
      <w:r>
        <w:t xml:space="preserve">(Heskes et al. 2020)</w:t>
      </w:r>
      <w:r>
        <w:t xml:space="preserve"> </w:t>
      </w:r>
      <w:r>
        <w:t xml:space="preserve">respect a known causal graph,</w:t>
      </w:r>
      <w:r>
        <w:t xml:space="preserve"> </w:t>
      </w:r>
      <w:r>
        <w:t xml:space="preserve">and</w:t>
      </w:r>
      <w:r>
        <w:t xml:space="preserve"> </w:t>
      </w:r>
      <w:r>
        <w:t xml:space="preserve">Singal, Michailidis, and Ng (2021)</w:t>
      </w:r>
      <w:r>
        <w:t xml:space="preserve"> </w:t>
      </w:r>
      <w:r>
        <w:t xml:space="preserve">give a recursive Shapley attribution for flows in graphical</w:t>
      </w:r>
      <w:r>
        <w:t xml:space="preserve"> </w:t>
      </w:r>
      <w:r>
        <w:t xml:space="preserve">models. Both explain model outputs or flows. VEIN attributes realised systemic loss to</w:t>
      </w:r>
      <w:r>
        <w:t xml:space="preserve"> </w:t>
      </w:r>
      <w:r>
        <w:t xml:space="preserve">interventions on a ledger-specified graph.</w:t>
      </w:r>
    </w:p>
    <w:p>
      <w:pPr>
        <w:pStyle w:val="BodyText"/>
      </w:pPr>
      <w:r>
        <w:rPr>
          <w:iCs/>
          <w:i/>
        </w:rPr>
        <w:t xml:space="preserve">Contagion and on-chain data.</w:t>
      </w:r>
      <w:r>
        <w:t xml:space="preserve"> </w:t>
      </w:r>
      <w:r>
        <w:t xml:space="preserve">Network models of default propagation</w:t>
      </w:r>
      <w:r>
        <w:t xml:space="preserve"> </w:t>
      </w:r>
      <w:r>
        <w:t xml:space="preserve">(Eisenberg and Noe 2001; Acemoglu, Ozdaglar, and Tahbaz-Salehi 2015; Glasserman and Young 2016)</w:t>
      </w:r>
      <w:r>
        <w:t xml:space="preserve"> </w:t>
      </w:r>
      <w:r>
        <w:t xml:space="preserve">motivate the</w:t>
      </w:r>
      <w:r>
        <w:t xml:space="preserve"> </w:t>
      </w:r>
      <w:r>
        <w:t xml:space="preserve">network as the object of study. VEIN uses reduced-form linear propagation instead of a</w:t>
      </w:r>
      <w:r>
        <w:t xml:space="preserve"> </w:t>
      </w:r>
      <w:r>
        <w:t xml:space="preserve">clearing mechanism. On-chain data have been used to study Tether issuance</w:t>
      </w:r>
      <w:r>
        <w:t xml:space="preserve"> </w:t>
      </w:r>
      <w:r>
        <w:t xml:space="preserve">(Griffin and Shams 2020)</w:t>
      </w:r>
      <w:r>
        <w:t xml:space="preserve">, arbitrage</w:t>
      </w:r>
      <w:r>
        <w:t xml:space="preserve"> </w:t>
      </w:r>
      <w:r>
        <w:t xml:space="preserve">and capital flows</w:t>
      </w:r>
      <w:r>
        <w:t xml:space="preserve"> </w:t>
      </w:r>
      <w:r>
        <w:t xml:space="preserve">(Makarov and Schoar 2020)</w:t>
      </w:r>
      <w:r>
        <w:t xml:space="preserve">, reconstruct the Terra/Luna run</w:t>
      </w:r>
      <w:r>
        <w:t xml:space="preserve"> </w:t>
      </w:r>
      <w:r>
        <w:t xml:space="preserve">(Liu, Makarov, and Schoar 2023)</w:t>
      </w:r>
      <w:r>
        <w:t xml:space="preserve">,</w:t>
      </w:r>
      <w:r>
        <w:t xml:space="preserve"> </w:t>
      </w:r>
      <w:r>
        <w:t xml:space="preserve">measure DeFi liquidations</w:t>
      </w:r>
      <w:r>
        <w:t xml:space="preserve"> </w:t>
      </w:r>
      <w:r>
        <w:t xml:space="preserve">(Qin et al. 2021)</w:t>
      </w:r>
      <w:r>
        <w:t xml:space="preserve">, and for prediction and forensics</w:t>
      </w:r>
      <w:r>
        <w:t xml:space="preserve"> </w:t>
      </w:r>
      <w:r>
        <w:t xml:space="preserve">(Akcora et al. 2018; Meiklejohn et al. 2013; Weber et al. 2019)</w:t>
      </w:r>
      <w:r>
        <w:t xml:space="preserve">. None treats the graph as a</w:t>
      </w:r>
      <w:r>
        <w:t xml:space="preserve"> </w:t>
      </w:r>
      <w:r>
        <w:t xml:space="preserve">structural causal model for a systemic-risk measure.</w:t>
      </w:r>
    </w:p>
    <w:p>
      <w:pPr>
        <w:pStyle w:val="BodyText"/>
      </w:pPr>
      <w:r>
        <w:t xml:space="preserve">Recent crypto work is descriptive or price-based.</w:t>
      </w:r>
      <w:r>
        <w:t xml:space="preserve"> </w:t>
      </w:r>
      <w:r>
        <w:t xml:space="preserve">Sankaewtong et al. (2026)</w:t>
      </w:r>
      <w:r>
        <w:t xml:space="preserve"> </w:t>
      </w:r>
      <w:r>
        <w:t xml:space="preserve">trace USDC depeg</w:t>
      </w:r>
      <w:r>
        <w:t xml:space="preserve"> </w:t>
      </w:r>
      <w:r>
        <w:t xml:space="preserve">contagion through transactions without interventional semantics,</w:t>
      </w:r>
      <w:r>
        <w:t xml:space="preserve"> </w:t>
      </w:r>
      <w:r>
        <w:t xml:space="preserve">Zhang et al. (2026)</w:t>
      </w:r>
      <w:r>
        <w:t xml:space="preserve"> </w:t>
      </w:r>
      <w:r>
        <w:t xml:space="preserve">use</w:t>
      </w:r>
      <w:r>
        <w:t xml:space="preserve"> </w:t>
      </w:r>
      <w:r>
        <w:t xml:space="preserve">correlations of total-value-locked series, and counterfactual analysis has so far reached</w:t>
      </w:r>
      <w:r>
        <w:t xml:space="preserve"> </w:t>
      </w:r>
      <w:r>
        <w:t xml:space="preserve">credit-portfolio losses</w:t>
      </w:r>
      <w:r>
        <w:t xml:space="preserve"> </w:t>
      </w:r>
      <w:r>
        <w:t xml:space="preserve">(Xu 2025)</w:t>
      </w:r>
      <w:r>
        <w:t xml:space="preserve">. The claimed novelty is narrow:</w:t>
      </w:r>
      <w:r>
        <w:t xml:space="preserve"> </w:t>
      </w:r>
      <w:r>
        <w:t xml:space="preserve">an observed, ledger-specified graph used as the parent set of a structural causal model,</w:t>
      </w:r>
      <w:r>
        <w:t xml:space="preserve"> </w:t>
      </w:r>
      <w:r>
        <w:t xml:space="preserve">combined with a counterfactual Shapley attribution of systemic loss. To our knowledge no</w:t>
      </w:r>
      <w:r>
        <w:t xml:space="preserve"> </w:t>
      </w:r>
      <w:r>
        <w:t xml:space="preserve">published work combines these two elements. Because this is a negative existence claim,</w:t>
      </w:r>
      <w:r>
        <w:t xml:space="preserve"> </w:t>
      </w:r>
      <w:r>
        <w:t xml:space="preserve">it is bounded by our search coverage.</w:t>
      </w:r>
    </w:p>
    <w:bookmarkEnd w:id="23"/>
    <w:bookmarkStart w:id="35" w:name="sec:method"/>
    <w:p>
      <w:pPr>
        <w:pStyle w:val="Heading1"/>
      </w:pPr>
      <w:r>
        <w:t xml:space="preserve">The VEIN Framework</w:t>
      </w:r>
    </w:p>
    <w:bookmarkStart w:id="25" w:name="subsec:scm"/>
    <w:p>
      <w:pPr>
        <w:pStyle w:val="Heading2"/>
      </w:pPr>
      <w:r>
        <w:t xml:space="preserve">Structural causal model and identification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 </w:t>
      </w:r>
      <w:r>
        <w:t xml:space="preserve">be a directed, timestamped, dollar-weighted graph of resolved entities</w:t>
      </w:r>
      <w:r>
        <w:t xml:space="preserve"> </w:t>
      </w:r>
      <w:r>
        <w:t xml:space="preserve">(exchanges, lending protocols, stablecoin issuers, custodians and an aggregate retail node)</w:t>
      </w:r>
      <w:r>
        <w:t xml:space="preserve"> </w:t>
      </w:r>
      <w:r>
        <w:t xml:space="preserve">whose edges are observed on-chain flows. For entity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period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 track a stress</w:t>
      </w:r>
      <w:r>
        <w:t xml:space="preserve"> </w:t>
      </w:r>
      <w:r>
        <w:t xml:space="preserve">state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, oriented so that larger means more distressed, the flow</w:t>
      </w:r>
      <w: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  <m:r>
              <m:rPr>
                <m:sty m:val="p"/>
              </m:rPr>
              <m:t>→</m:t>
            </m:r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 an exogenous shock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. The structural equation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→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{</m:t>
          </m:r>
          <m:r>
            <m:t> </m:t>
          </m:r>
          <m:r>
            <m:t>p</m:t>
          </m:r>
          <m:r>
            <m:rPr>
              <m:sty m:val="p"/>
            </m:rPr>
            <m:t>∈</m:t>
          </m:r>
          <m:r>
            <m:t>V</m:t>
          </m:r>
          <m:r>
            <m:rPr>
              <m:sty m:val="p"/>
            </m:rPr>
            <m:t>: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→</m:t>
              </m:r>
              <m:r>
                <m:t>i</m:t>
              </m:r>
            </m:e>
          </m:d>
          <m:r>
            <m:rPr>
              <m:sty m:val="p"/>
            </m:rPr>
            <m:t>∈</m:t>
          </m:r>
          <m:r>
            <m:t>E</m:t>
          </m:r>
          <m:r>
            <m:t> 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assumptions A1–A3 below, the in-neighbours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specify its parent set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a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from the ledger, so only the propagation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requires estimation. We use a</w:t>
      </w:r>
      <w:r>
        <w:t xml:space="preserve"> </w:t>
      </w:r>
      <w:r>
        <w:t xml:space="preserve">ridge-regularised linear specification,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</m:e>
          </m:nary>
          <m:r>
            <m:t> </m:t>
          </m:r>
          <m:sSub>
            <m:e>
              <m:r>
                <m:t>S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→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parameters estimated on a pre-crisis window; the fitted residuals furnish the shock</w:t>
      </w:r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Every parent enters at lag</w:t>
      </w:r>
      <w:r>
        <w:t xml:space="preserve"> </w:t>
      </w:r>
      <m:oMath>
        <m:r>
          <m:t>t</m:t>
        </m:r>
        <m:r>
          <m:t>​</m:t>
        </m:r>
        <m:r>
          <m:rPr>
            <m:sty m:val="p"/>
          </m:rPr>
          <m:t>−</m:t>
        </m:r>
        <m:r>
          <m:t>​</m:t>
        </m:r>
        <m:r>
          <m:t>1</m:t>
        </m:r>
      </m:oMath>
      <w:r>
        <w:t xml:space="preserve"> </w:t>
      </w:r>
      <w:r>
        <w:t xml:space="preserve">in the stress term, so the system is well posed even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cycles.</w:t>
      </w:r>
    </w:p>
    <w:bookmarkStart w:id="24" w:name="prop:wellposed"/>
    <w:p>
      <w:pPr>
        <w:pStyle w:val="BodyText"/>
      </w:pPr>
      <w:r>
        <w:rPr>
          <w:bCs/>
          <w:b/>
        </w:rPr>
        <w:t xml:space="preserve">Proposition 1</w:t>
      </w:r>
      <w:r>
        <w:t xml:space="preserve"> </w:t>
      </w:r>
      <w:r>
        <w:t xml:space="preserve">(Well-posedness of the lagged system).</w:t>
      </w:r>
      <w:r>
        <w:t xml:space="preserve"> </w:t>
      </w:r>
      <w:r>
        <w:t xml:space="preserve"> </w:t>
      </w:r>
      <w:r>
        <w:rPr>
          <w:iCs/>
          <w:i/>
        </w:rPr>
        <w:t xml:space="preserve">Given</w:t>
      </w:r>
      <w:r>
        <w:rPr>
          <w:iCs/>
          <w:i/>
        </w:rP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and a shock path, the trajectory generated by</w:t>
      </w:r>
      <w:r>
        <w:rPr>
          <w:iCs/>
          <w:i/>
        </w:rPr>
        <w:t xml:space="preserve"> </w:t>
      </w:r>
      <w:hyperlink w:anchor="eq:fi">
        <w:r>
          <w:rPr>
            <w:rStyle w:val="Hyperlink"/>
            <w:iCs/>
            <w:i/>
          </w:rPr>
          <w:t xml:space="preserve">[eq:fi]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is</w:t>
      </w:r>
      <w:r>
        <w:rPr>
          <w:iCs/>
          <w:i/>
        </w:rPr>
        <w:t xml:space="preserve"> </w:t>
      </w:r>
      <w:r>
        <w:rPr>
          <w:iCs/>
          <w:i/>
        </w:rPr>
        <w:t xml:space="preserve">uniquely determined by forward iteration, even when</w:t>
      </w:r>
      <w:r>
        <w:rPr>
          <w:iCs/>
          <w:i/>
        </w:rPr>
        <w:t xml:space="preserve"> </w:t>
      </w:r>
      <m:oMath>
        <m:r>
          <m:t>G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contains directed cycles.</w:t>
      </w:r>
    </w:p>
    <w:bookmarkEnd w:id="24"/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At step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right-hand side of</w:t>
      </w:r>
      <w:r>
        <w:t xml:space="preserve"> </w:t>
      </w:r>
      <w:hyperlink w:anchor="eq:fi">
        <w:r>
          <w:rPr>
            <w:rStyle w:val="Hyperlink"/>
          </w:rPr>
          <w:t xml:space="preserve">[eq:fi]</w:t>
        </w:r>
      </w:hyperlink>
      <w:r>
        <w:t xml:space="preserve"> </w:t>
      </w:r>
      <w:r>
        <w:t xml:space="preserve">references only stress at</w:t>
      </w:r>
      <w:r>
        <w:t xml:space="preserve"> </w:t>
      </w:r>
      <m:oMath>
        <m:r>
          <m:t>t</m:t>
        </m:r>
        <m:r>
          <m:t>​</m:t>
        </m:r>
        <m:r>
          <m:rPr>
            <m:sty m:val="p"/>
          </m:rPr>
          <m:t>−</m:t>
        </m:r>
        <m:r>
          <m:t>​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exogenous quantities at</w:t>
      </w:r>
      <w:r>
        <w:t xml:space="preserve"> </w:t>
      </w:r>
      <m:oMath>
        <m:r>
          <m:t>t</m:t>
        </m:r>
      </m:oMath>
      <w:r>
        <w:t xml:space="preserve">. Induction 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gives existence and uniqueness. ◻</w:t>
      </w:r>
    </w:p>
    <w:p>
      <w:pPr>
        <w:pStyle w:val="BodyText"/>
      </w:pPr>
      <w:r>
        <w:t xml:space="preserve">Identification rests on three assumptions.</w:t>
      </w:r>
      <w:r>
        <w:t xml:space="preserve"> </w:t>
      </w:r>
      <w:r>
        <w:rPr>
          <w:iCs/>
          <w:i/>
        </w:rPr>
        <w:t xml:space="preserve">Temporal precedence</w:t>
      </w:r>
      <w:r>
        <w:t xml:space="preserve"> </w:t>
      </w:r>
      <w:r>
        <w:t xml:space="preserve">(A1): a flow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  <m:r>
              <m:rPr>
                <m:sty m:val="p"/>
              </m:rPr>
              <m:t>→</m:t>
            </m:r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precedes any effect 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t</m:t>
        </m:r>
      </m:oMath>
      <w:r>
        <w:t xml:space="preserve">. Block timestamps make this</w:t>
      </w:r>
      <w:r>
        <w:t xml:space="preserve"> </w:t>
      </w:r>
      <w:r>
        <w:t xml:space="preserve">observable, but they show only that a transfer could not be an effect of later stress, not</w:t>
      </w:r>
      <w:r>
        <w:t xml:space="preserve"> </w:t>
      </w:r>
      <w:r>
        <w:t xml:space="preserve">that it is the operative cause.</w:t>
      </w:r>
      <w:r>
        <w:t xml:space="preserve"> </w:t>
      </w:r>
      <w:r>
        <w:rPr>
          <w:iCs/>
          <w:i/>
        </w:rPr>
        <w:t xml:space="preserve">No unobserved common cause for flow edges</w:t>
      </w:r>
      <w:r>
        <w:t xml:space="preserve"> </w:t>
      </w:r>
      <w:r>
        <w:t xml:space="preserve">(A2): given</w:t>
      </w:r>
      <w:r>
        <w:t xml:space="preserve"> </w:t>
      </w:r>
      <w:r>
        <w:t xml:space="preserve">the graph up to</w:t>
      </w:r>
      <w:r>
        <w:t xml:space="preserve"> </w:t>
      </w:r>
      <m:oMath>
        <m:r>
          <m:t>t</m:t>
        </m:r>
      </m:oMath>
      <w:r>
        <w:t xml:space="preserve">, an edge</w:t>
      </w:r>
      <w:r>
        <w:t xml:space="preserve"> </w:t>
      </w:r>
      <m:oMath>
        <m:r>
          <m:t>i</m:t>
        </m:r>
        <m:r>
          <m:rPr>
            <m:sty m:val="p"/>
          </m:rPr>
          <m:t>→</m:t>
        </m:r>
        <m:r>
          <m:t>j</m:t>
        </m:r>
      </m:oMath>
      <w:r>
        <w:t xml:space="preserve"> </w:t>
      </w:r>
      <w:r>
        <w:t xml:space="preserve">reflects</w:t>
      </w:r>
      <w:r>
        <w:t xml:space="preserve"> </w:t>
      </w:r>
      <m:oMath>
        <m:r>
          <m:t>i</m:t>
        </m:r>
      </m:oMath>
      <w:r>
        <w:t xml:space="preserve">’s direct action on</w:t>
      </w:r>
      <w:r>
        <w:t xml:space="preserve"> </w:t>
      </w:r>
      <m:oMath>
        <m:r>
          <m:t>j</m:t>
        </m:r>
      </m:oMath>
      <w:r>
        <w:t xml:space="preserve">. This is the</w:t>
      </w:r>
      <w:r>
        <w:t xml:space="preserve"> </w:t>
      </w:r>
      <w:r>
        <w:t xml:space="preserve">strongest assumption, because the ledger does not record off-chain decisions such as a</w:t>
      </w:r>
      <w:r>
        <w:t xml:space="preserve"> </w:t>
      </w:r>
      <w:r>
        <w:t xml:space="preserve">CEX-internal pricing engine, an oracle update or coordinated withdrawals, any of which can</w:t>
      </w:r>
      <w:r>
        <w:t xml:space="preserve"> </w:t>
      </w:r>
      <w:r>
        <w:t xml:space="preserve">drive both a flow and downstream stress. Section </w:t>
      </w:r>
      <w:hyperlink w:anchor="subsec:h2valid">
        <w:r>
          <w:rPr>
            <w:rStyle w:val="Hyperlink"/>
          </w:rPr>
          <w:t xml:space="preserve">5.3</w:t>
        </w:r>
      </w:hyperlink>
      <w:r>
        <w:t xml:space="preserve"> </w:t>
      </w:r>
      <w:r>
        <w:t xml:space="preserve">bounds this threat</w:t>
      </w:r>
      <w:r>
        <w:t xml:space="preserve"> </w:t>
      </w:r>
      <w:r>
        <w:t xml:space="preserve">but does not eliminate it.</w:t>
      </w:r>
      <w:r>
        <w:t xml:space="preserve"> </w:t>
      </w:r>
      <w:r>
        <w:rPr>
          <w:iCs/>
          <w:i/>
        </w:rPr>
        <w:t xml:space="preserve">Monotone propagation along flow direction</w:t>
      </w:r>
      <w:r>
        <w:t xml:space="preserve"> </w:t>
      </w:r>
      <w:r>
        <w:t xml:space="preserve">(A3): distress</w:t>
      </w:r>
      <w:r>
        <w:t xml:space="preserve"> </w:t>
      </w:r>
      <w:r>
        <w:t xml:space="preserve">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 through realised flow paths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 A3 carries the</w:t>
      </w:r>
      <w:r>
        <w:t xml:space="preserve"> </w:t>
      </w:r>
      <w:r>
        <w:t xml:space="preserve">empirical content and is tested by edge reversal.</w:t>
      </w:r>
    </w:p>
    <w:bookmarkEnd w:id="25"/>
    <w:bookmarkStart w:id="26" w:name="subsec:risk"/>
    <w:p>
      <w:pPr>
        <w:pStyle w:val="Heading2"/>
      </w:pPr>
      <w:r>
        <w:t xml:space="preserve">Interventional and counterfactual risk measures</w:t>
      </w:r>
    </w:p>
    <w:p>
      <w:pPr>
        <w:pStyle w:val="FirstParagraph"/>
      </w:pPr>
      <w:r>
        <w:t xml:space="preserve">Over an event window</w:t>
      </w:r>
      <w:r>
        <w:t xml:space="preserve"> </w:t>
      </w:r>
      <m:oMath>
        <m:r>
          <m:rPr>
            <m:sty m:val="p"/>
            <m:scr m:val="script"/>
          </m:rPr>
          <m:t>T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  <m:r>
              <m:rPr>
                <m:sty m:val="p"/>
              </m:rPr>
              <m:t>∈</m:t>
            </m:r>
            <m:r>
              <m:rPr>
                <m:sty m:val="p"/>
                <m:scr m:val="script"/>
              </m:rPr>
              <m:t>T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max</m:t>
            </m:r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. The</w:t>
      </w:r>
      <w:r>
        <w:t xml:space="preserve"> </w:t>
      </w:r>
      <w:r>
        <w:t xml:space="preserve">interventional measure applies Pearl’s do-operator to</w:t>
      </w:r>
      <w:r>
        <w:t xml:space="preserve"> </w:t>
      </w:r>
      <w:hyperlink w:anchor="eq:scm">
        <w:r>
          <w:rPr>
            <w:rStyle w:val="Hyperlink"/>
          </w:rPr>
          <w:t xml:space="preserve">[eq:scm]</w:t>
        </w:r>
      </w:hyperlink>
      <w:r>
        <w:t xml:space="preserve">: entity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forced</w:t>
      </w:r>
      <w:r>
        <w:t xml:space="preserve"> </w:t>
      </w:r>
      <w:r>
        <w:t xml:space="preserve">to a distressed level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its parents are severed, and the system is propagated</w:t>
      </w:r>
      <w:r>
        <w:t xml:space="preserve"> </w:t>
      </w:r>
      <w:r>
        <w:t xml:space="preserve">forward. On-Chain Causal CoVaR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OC-CoVaR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j</m:t>
          </m:r>
          <m:r>
            <m:t> </m:t>
          </m:r>
          <m:d>
            <m:dPr>
              <m:begChr m:val="|"/>
              <m:endChr m:val=")"/>
              <m:sepChr m:val=""/>
              <m:grow/>
            </m:dPr>
            <m:e>
              <m:r>
                <m:t> 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e>
            <m:sub>
              <m:r>
                <m:t>q</m:t>
              </m:r>
            </m:sub>
          </m:sSub>
          <m:r>
            <m:t>​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j</m:t>
              </m:r>
            </m:sub>
          </m:sSub>
          <m:r>
            <m:t> </m:t>
          </m:r>
          <m:d>
            <m:dPr>
              <m:begChr m:val="|"/>
              <m:endChr m:val=")"/>
              <m:sepChr m:val=""/>
              <m:grow/>
            </m:dPr>
            <m:e>
              <m:r>
                <m:t> 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estimated by Monte-Carlo propagation with residual-resampled shock paths. The marginal</w:t>
      </w:r>
      <w:r>
        <w:t xml:space="preserve"> </w:t>
      </w:r>
      <w:r>
        <w:t xml:space="preserve">contribution contrasts the distressed intervention with the median state,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rPr>
                  <m:nor/>
                  <m:sty m:val="p"/>
                </m:rPr>
                <m:t>OC-CoVaR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j</m:t>
          </m:r>
          <m:r>
            <m:t> </m:t>
          </m:r>
          <m:d>
            <m:dPr>
              <m:begChr m:val="|"/>
              <m:endChr m:val="|"/>
              <m:sepChr m:val=""/>
              <m:grow/>
            </m:dPr>
            <m:e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rPr>
                  <m:sty m:val="p"/>
                </m:rPr>
                <m:t>=</m:t>
              </m:r>
              <m:r>
                <m:t> </m:t>
              </m:r>
              <m:sSub>
                <m:e>
                  <m:r>
                    <m:rPr>
                      <m:nor/>
                      <m:sty m:val="p"/>
                    </m:rPr>
                    <m:t>OC-CoVaR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r>
                <m:t>j</m:t>
              </m:r>
              <m:r>
                <m:t> </m:t>
              </m:r>
            </m:e>
          </m:d>
          <m:r>
            <m:t> </m:t>
          </m:r>
          <m:r>
            <m:rPr>
              <m:sty m:val="p"/>
            </m:rPr>
            <m:t>d</m:t>
          </m:r>
          <m:r>
            <m:rPr>
              <m:sty m:val="p"/>
            </m:rPr>
            <m:t>o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OC-CoVaR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 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m:oMath>
        <m:r>
          <m:t>95</m:t>
        </m:r>
      </m:oMath>
      <w:r>
        <w:t xml:space="preserve">th percentile of</w:t>
      </w:r>
      <w:r>
        <w:t xml:space="preserve"> </w:t>
      </w:r>
      <m:oMath>
        <m:r>
          <m:t>i</m:t>
        </m:r>
      </m:oMath>
      <w:r>
        <w:t xml:space="preserve">’s stress. Entities are ranked by exported tail</w:t>
      </w:r>
      <w:r>
        <w:t xml:space="preserve"> </w:t>
      </w:r>
      <w:r>
        <w:t xml:space="preserve">risk</w:t>
      </w:r>
      <w:r>
        <w:t xml:space="preserve"> </w:t>
      </w:r>
      <m:oMath>
        <m:r>
          <m:rPr>
            <m:sty m:val="p"/>
            <m:scr m:val="script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≠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max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Δ</m:t>
            </m:r>
            <m:sSub>
              <m:e>
                <m:r>
                  <m:rPr>
                    <m:nor/>
                    <m:sty m:val="p"/>
                  </m:rPr>
                  <m:t>OC-CoVaR</m:t>
                </m:r>
              </m:e>
              <m:sub>
                <m:r>
                  <m:t>q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j</m:t>
                </m:r>
                <m:r>
                  <m:t> </m:t>
                </m:r>
                <m:r>
                  <m:rPr>
                    <m:sty m:val="p"/>
                  </m:rPr>
                  <m:t>|</m:t>
                </m:r>
                <m:r>
                  <m:t> </m:t>
                </m:r>
                <m:r>
                  <m:t>i</m:t>
                </m:r>
              </m:e>
            </m:d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.</w:t>
      </w:r>
    </w:p>
    <w:p>
      <w:pPr>
        <w:pStyle w:val="BodyText"/>
      </w:pPr>
      <w:r>
        <w:t xml:space="preserve">The counterfactual measure sits one level higher. Following the abduction–action–prediction</w:t>
      </w:r>
      <w:r>
        <w:t xml:space="preserve"> </w:t>
      </w:r>
      <w:r>
        <w:t xml:space="preserve">procedure</w:t>
      </w:r>
      <w:r>
        <w:t xml:space="preserve"> </w:t>
      </w:r>
      <w:r>
        <w:t xml:space="preserve">(Pearl 2009, 2019)</w:t>
      </w:r>
      <w:r>
        <w:t xml:space="preserve">, we replace</w:t>
      </w:r>
      <w:r>
        <w:t xml:space="preserve"> </w:t>
      </w:r>
      <m:oMath>
        <m:r>
          <m:t>i</m:t>
        </m:r>
      </m:oMath>
      <w:r>
        <w:t xml:space="preserve">’s realised path by its</w:t>
      </w:r>
      <w:r>
        <w:t xml:space="preserve"> </w:t>
      </w:r>
      <w:r>
        <w:t xml:space="preserve">pre-crisis level</w:t>
      </w:r>
      <w:r>
        <w:t xml:space="preserve"> </w:t>
      </w:r>
      <m:oMath>
        <m:sSubSup>
          <m:e>
            <m:r>
              <m:t>S</m:t>
            </m:r>
          </m:e>
          <m:sub>
            <m:r>
              <m:t>i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p>
        </m:sSubSup>
      </m:oMath>
      <w:r>
        <w:t xml:space="preserve">, hold the other entities’ abduced shocks fixed, and</w:t>
      </w:r>
      <w:r>
        <w:t xml:space="preserve"> </w:t>
      </w:r>
      <w:r>
        <w:t xml:space="preserve">predict the change in</w:t>
      </w:r>
      <w:r>
        <w:t xml:space="preserve"> </w:t>
      </w:r>
      <m:oMath>
        <m:r>
          <m:t>j</m:t>
        </m:r>
      </m:oMath>
      <w:r>
        <w:t xml:space="preserve">’s loss. With</w:t>
      </w:r>
      <w:r>
        <w:t xml:space="preserve"> </w:t>
      </w:r>
      <m:oMath>
        <m:sSubSup>
          <m:e>
            <m:r>
              <m:t>L</m:t>
            </m:r>
          </m:e>
          <m:sub>
            <m:r>
              <m:t>j</m:t>
            </m:r>
          </m:sub>
          <m:sup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</m:sup>
        </m:sSubSup>
      </m:oMath>
      <w:r>
        <w:t xml:space="preserve"> </w:t>
      </w:r>
      <w:r>
        <w:t xml:space="preserve">the loss in the reference</w:t>
      </w:r>
      <w:r>
        <w:t xml:space="preserve"> </w:t>
      </w:r>
      <w:r>
        <w:t xml:space="preserve">(factual) world,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Δ</m:t>
              </m:r>
            </m:e>
            <m:sub>
              <m:r>
                <m:t>i</m:t>
              </m:r>
            </m:sub>
            <m:sup>
              <m:r>
                <m:t>C</m:t>
              </m:r>
              <m:r>
                <m:t>F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bSup>
            <m:e>
              <m:r>
                <m:t>L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L</m:t>
              </m:r>
            </m:e>
            <m:sub>
              <m:r>
                <m:t>j</m:t>
              </m:r>
            </m:sub>
            <m:sup>
              <m:r>
                <m:t> 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pre</m:t>
                      </m:r>
                    </m:sup>
                  </m:sSubSup>
                </m:e>
              </m:d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share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bSup>
                <m:e>
                  <m: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  <m:r>
                    <m:t>F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</m:e>
              </m:d>
            </m:num>
            <m:den>
              <m:sSubSup>
                <m:e>
                  <m:r>
                    <m:t>L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factual world is model-implied: entity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follows its realised path and the other</w:t>
      </w:r>
      <w:r>
        <w:t xml:space="preserve"> </w:t>
      </w:r>
      <w:r>
        <w:t xml:space="preserve">entities follow the fitted equations with the abduced shocks. In the reported analysis the</w:t>
      </w:r>
      <w:r>
        <w:t xml:space="preserve"> </w:t>
      </w:r>
      <w:r>
        <w:t xml:space="preserve">event-window shocks are zero (the legacy abduction, Appendix </w:t>
      </w:r>
      <w:hyperlink w:anchor="app:impl">
        <w:r>
          <w:rPr>
            <w:rStyle w:val="Hyperlink"/>
          </w:rPr>
          <w:t xml:space="preserve">7</w:t>
        </w:r>
      </w:hyperlink>
      <w:r>
        <w:t xml:space="preserve">), 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</m:sup>
        </m:sSup>
      </m:oMath>
      <w:r>
        <w:t xml:space="preserve"> </w:t>
      </w:r>
      <w:r>
        <w:t xml:space="preserve">is model-implied rather than an exactly reproduced loss. By</w:t>
      </w:r>
      <w:r>
        <w:t xml:space="preserve"> </w:t>
      </w:r>
      <w:r>
        <w:t xml:space="preserve">Proposition </w:t>
      </w:r>
      <w:hyperlink w:anchor="prop:B">
        <w:r>
          <w:rPr>
            <w:rStyle w:val="Hyperlink"/>
          </w:rPr>
          <w:t xml:space="preserve">3</w:t>
        </w:r>
      </w:hyperlink>
      <w:r>
        <w:t xml:space="preserve">, this choice affects the attribution only through the hinge in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attribution is model-relative: it holds the other entities’ abduced shocks fixed rather</w:t>
      </w:r>
      <w:r>
        <w:t xml:space="preserve"> </w:t>
      </w:r>
      <w:r>
        <w:t xml:space="preserve">than solving the cross-world equilibrium.</w:t>
      </w:r>
    </w:p>
    <w:p>
      <w:pPr>
        <w:pStyle w:val="BodyText"/>
      </w:pPr>
      <w:r>
        <w:t xml:space="preserve">$G \gets \textsc{ResolveEntities}(\text{transfers}, \text{labels})$</w:t>
      </w:r>
      <w:r>
        <w:t xml:space="preserve"> </w:t>
      </w:r>
      <w:r>
        <w:t xml:space="preserve">Fit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by ridge regression for each entity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its pre-event window</w:t>
      </w:r>
      <w:r>
        <w:t xml:space="preserve"> </w:t>
      </w:r>
      <m:oMath>
        <m:r>
          <m:t>Δ</m:t>
        </m:r>
        <m:sSub>
          <m:e>
            <m:r>
              <m:rPr>
                <m:nor/>
                <m:sty m:val="p"/>
              </m:rPr>
              <m:t>OC-CoVaR</m:t>
            </m:r>
          </m:e>
          <m:sub>
            <m:r>
              <m:t>q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t> </m:t>
            </m:r>
            <m:r>
              <m:rPr>
                <m:sty m:val="p"/>
              </m:rPr>
              <m:t>|</m:t>
            </m:r>
            <m:r>
              <m:t> </m:t>
            </m:r>
            <m:r>
              <m:t>i</m:t>
            </m:r>
          </m:e>
        </m:d>
      </m:oMath>
      <w:r>
        <w:t xml:space="preserve"> </w:t>
      </w:r>
      <w:r>
        <w:t xml:space="preserve">by</w:t>
      </w:r>
      <w:r>
        <w:t xml:space="preserve"> </w:t>
      </w:r>
      <w:r>
        <w:rPr>
          <w:smallCaps/>
        </w:rPr>
        <w:t xml:space="preserve">MonteCarloPropagate</w:t>
      </w:r>
      <w:r>
        <w:t xml:space="preserve"> </w:t>
      </w:r>
      <w:r>
        <w:t xml:space="preserve">under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m:oMath>
        <m:sSubSup>
          <m:e>
            <m:r>
              <m:t>Δ</m:t>
            </m:r>
          </m:e>
          <m:sub>
            <m:r>
              <m:t>i</m:t>
            </m:r>
          </m:sub>
          <m:sup>
            <m:r>
              <m:t>C</m:t>
            </m:r>
            <m:r>
              <m:t>F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</m:oMath>
      <w:r>
        <w:t xml:space="preserve"> </w:t>
      </w:r>
      <w:r>
        <w:t xml:space="preserve">by</w:t>
      </w:r>
      <w:r>
        <w:t xml:space="preserve"> </w:t>
      </w:r>
      <w:r>
        <w:rPr>
          <w:smallCaps/>
        </w:rPr>
        <w:t xml:space="preserve">Abduct</w:t>
      </w:r>
      <w:r>
        <w:t xml:space="preserve">, then</w:t>
      </w:r>
      <w:r>
        <w:t xml:space="preserve"> </w:t>
      </w:r>
      <w:r>
        <w:rPr>
          <w:smallCaps/>
        </w:rPr>
        <w:t xml:space="preserve">Predict</w:t>
      </w:r>
      <w:r>
        <w:t xml:space="preserve"> </w:t>
      </w:r>
      <w:r>
        <w:t xml:space="preserve">under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Sup>
              <m:e>
                <m:r>
                  <m:t>S</m:t>
                </m:r>
              </m:e>
              <m:sub>
                <m:r>
                  <m:t>i</m:t>
                </m:r>
              </m:sub>
              <m:sup>
                <m:r>
                  <m:rPr>
                    <m:nor/>
                    <m:sty m:val="p"/>
                  </m:rPr>
                  <m:t>pre</m:t>
                </m:r>
              </m:sup>
            </m:sSubSup>
          </m:e>
        </m:d>
      </m:oMath>
      <w:r>
        <w:t xml:space="preserve"> </w:t>
      </w:r>
      <w:r>
        <w:t xml:space="preserve">Rerun the three-variant comparison 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p>
        </m:sSup>
      </m:oMath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OC-CoVaR ranking, counterfactual attributions, falsification and validity battery</w:t>
      </w:r>
    </w:p>
    <w:bookmarkEnd w:id="26"/>
    <w:bookmarkStart w:id="33" w:name="subsec:analytic"/>
    <w:p>
      <w:pPr>
        <w:pStyle w:val="Heading2"/>
      </w:pPr>
      <w:r>
        <w:t xml:space="preserve">Analytic properties and exact attribution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V</m:t>
            </m:r>
          </m:e>
        </m:d>
      </m:oMath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p</m:t>
        </m:r>
        <m:r>
          <m:rPr>
            <m:sty m:val="p"/>
          </m:rPr>
          <m:t>a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 Over the window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, with a fixed</w:t>
      </w:r>
      <w:r>
        <w:t xml:space="preserve"> </w:t>
      </w:r>
      <w:r>
        <w:t xml:space="preserve">initial state,</w:t>
      </w:r>
      <w:r>
        <w:t xml:space="preserve"> </w:t>
      </w:r>
      <w:hyperlink w:anchor="eq:fi">
        <w:r>
          <w:rPr>
            <w:rStyle w:val="Hyperlink"/>
          </w:rPr>
          <w:t xml:space="preserve">[eq:fi]</w:t>
        </w:r>
      </w:hyperlink>
      <w:r>
        <w:t xml:space="preserve"> </w:t>
      </w:r>
      <w:r>
        <w:t xml:space="preserve">is the linear system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 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κ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κ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p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  <m:r>
                  <m:t>p</m:t>
                </m:r>
              </m:sub>
            </m:sSub>
          </m:e>
        </m:nary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F</m:t>
                </m:r>
              </m:e>
              <m:sub>
                <m:r>
                  <m:t>p</m:t>
                </m:r>
                <m:r>
                  <m:rPr>
                    <m:sty m:val="p"/>
                  </m:rPr>
                  <m:t>→</m:t>
                </m:r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</m:e>
        </m:d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collects the</w:t>
      </w:r>
      <w:r>
        <w:t xml:space="preserve"> </w:t>
      </w:r>
      <w:r>
        <w:t xml:space="preserve">intercepts, flows and shocks. For an entity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define the</w:t>
      </w:r>
      <w:r>
        <w:t xml:space="preserve"> </w:t>
      </w:r>
      <w:r>
        <w:rPr>
          <w:iCs/>
          <w:i/>
        </w:rPr>
        <w:t xml:space="preserve">impulse</w:t>
      </w:r>
      <w:r>
        <w:t xml:space="preserve"> </w:t>
      </w:r>
      <m:oMath>
        <m:sSubSup>
          <m:e>
            <m:r>
              <m:t>τ</m:t>
            </m:r>
          </m:e>
          <m:sub>
            <m:r>
              <m:t>0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sSubSup>
          <m:e>
            <m:r>
              <m:t>τ</m:t>
            </m:r>
          </m:e>
          <m:sub>
            <m:r>
              <m:t>t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  <m:r>
          <m:rPr>
            <m:sty m:val="p"/>
          </m:rPr>
          <m:t>=</m:t>
        </m:r>
        <m:r>
          <m:t>A</m:t>
        </m:r>
        <m:sSubSup>
          <m:e>
            <m:r>
              <m:t>τ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</m:oMath>
      <w:r>
        <w:t xml:space="preserve"> </w:t>
      </w:r>
      <w:r>
        <w:t xml:space="preserve">with its</w:t>
      </w:r>
      <w:r>
        <w:t xml:space="preserve"> </w:t>
      </w:r>
      <m:oMath>
        <m:r>
          <m:t>i</m:t>
        </m:r>
      </m:oMath>
      <w:r>
        <w:t xml:space="preserve">-th coordinate reset to one. Write</w:t>
      </w:r>
      <w:r>
        <w:t xml:space="preserve"> </w:t>
      </w:r>
      <m:oMath>
        <m:sSub>
          <m:e>
            <m:r>
              <m:t>τ</m:t>
            </m:r>
          </m:e>
          <m:sub>
            <m:r>
              <m:t>j</m:t>
            </m:r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for the</w:t>
      </w:r>
      <w:r>
        <w:t xml:space="preserve"> </w:t>
      </w:r>
      <m:oMath>
        <m:r>
          <m:t>j</m:t>
        </m:r>
      </m:oMath>
      <w:r>
        <w:t xml:space="preserve">-th coordinate. The</w:t>
      </w:r>
      <w:r>
        <w:t xml:space="preserve"> </w:t>
      </w:r>
      <w:r>
        <w:t xml:space="preserve">impulse is the per-unit response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holding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at a unit distressed</w:t>
      </w:r>
      <w:r>
        <w:t xml:space="preserve"> </w:t>
      </w:r>
      <w:r>
        <w:t xml:space="preserve">level from the start of the window. Expanding the recursion shows that</w:t>
      </w:r>
      <w:r>
        <w:t xml:space="preserve"> </w:t>
      </w:r>
      <m:oMath>
        <m:sSub>
          <m:e>
            <m:r>
              <m:t>τ</m:t>
            </m:r>
          </m:e>
          <m:sub>
            <m:r>
              <m:t>j</m:t>
            </m:r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 a sum over walks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length at most</w:t>
      </w:r>
      <w:r>
        <w:t xml:space="preserve"> </w:t>
      </w:r>
      <m:oMath>
        <m:r>
          <m:t>t</m:t>
        </m:r>
      </m:oMath>
      <w:r>
        <w:t xml:space="preserve">, each walk weighted by the</w:t>
      </w:r>
      <w:r>
        <w:t xml:space="preserve"> </w:t>
      </w:r>
      <w:r>
        <w:t xml:space="preserve">product of its coefficients and not revisiting</w:t>
      </w:r>
      <w:r>
        <w:t xml:space="preserve"> </w:t>
      </w:r>
      <m:oMath>
        <m:r>
          <m:t>i</m:t>
        </m:r>
      </m:oMath>
      <w:r>
        <w:t xml:space="preserve">. In particular</w:t>
      </w:r>
      <w:r>
        <w:t xml:space="preserve"> </w:t>
      </w:r>
      <m:oMath>
        <m:sSub>
          <m:e>
            <m:r>
              <m:t>τ</m:t>
            </m:r>
          </m:e>
          <m:sub>
            <m:r>
              <m:t>j</m:t>
            </m:r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requires a directed path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length at most</w:t>
      </w:r>
      <w:r>
        <w:t xml:space="preserve"> </w:t>
      </w:r>
      <m:oMath>
        <m:r>
          <m:t>t</m:t>
        </m:r>
      </m:oMath>
      <w:r>
        <w:t xml:space="preserve">.</w:t>
      </w:r>
    </w:p>
    <w:bookmarkStart w:id="27" w:name="prop:A"/>
    <w:p>
      <w:pPr>
        <w:pStyle w:val="BodyText"/>
      </w:pPr>
      <w:r>
        <w:rPr>
          <w:bCs/>
          <w:b/>
        </w:rPr>
        <w:t xml:space="preserve">Proposition 2</w:t>
      </w:r>
      <w:r>
        <w:t xml:space="preserve"> </w:t>
      </w:r>
      <w:r>
        <w:t xml:space="preserve">(Flow-free bounds on the intervention).</w:t>
      </w:r>
      <w:r>
        <w:t xml:space="preserve"> </w:t>
      </w:r>
      <w:r>
        <w:t xml:space="preserve"> </w:t>
      </w:r>
      <w:r>
        <w:rPr>
          <w:iCs/>
          <w:i/>
        </w:rPr>
        <w:t xml:space="preserve">Fix</w:t>
      </w:r>
      <w:r>
        <w:rPr>
          <w:iCs/>
          <w:i/>
        </w:rPr>
        <w:t xml:space="preserve"> </w:t>
      </w:r>
      <m:oMath>
        <m:r>
          <m:t>i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r>
          <m:t>T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iCs/>
          <w:i/>
        </w:rPr>
        <w:t xml:space="preserve">. Let</w:t>
      </w:r>
      <w:r>
        <w:rPr>
          <w:iCs/>
          <w:i/>
        </w:rPr>
        <w:t xml:space="preserve"> </w:t>
      </w:r>
      <m:oMath>
        <m:sSup>
          <m:e>
            <m:r>
              <m:t>S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p>
      </m:oMath>
      <w:r>
        <w:rPr>
          <w:iCs/>
          <w:i/>
        </w:rPr>
        <w:t xml:space="preserve"> </w:t>
      </w:r>
      <w:r>
        <w:rPr>
          <w:iCs/>
          <w:i/>
        </w:rPr>
        <w:t xml:space="preserve">be the window path under</w:t>
      </w:r>
      <w:r>
        <w:rPr>
          <w:iCs/>
          <w:i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  <m:r>
              <m:rPr>
                <m:sty m:val="p"/>
              </m:rPr>
              <m:t>=</m:t>
            </m:r>
            <m:r>
              <m:t>s</m:t>
            </m:r>
            <m:r>
              <m:rPr>
                <m:sty m:val="p"/>
              </m:rPr>
              <m:t>,</m:t>
            </m:r>
            <m:r>
              <m:t> </m:t>
            </m:r>
            <m:r>
              <m:t>t</m:t>
            </m:r>
            <m:r>
              <m:rPr>
                <m:sty m:val="p"/>
              </m:rPr>
              <m:t>&lt;</m:t>
            </m:r>
            <m:r>
              <m:t>T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sSup>
          <m:e>
            <m:r>
              <m:t>S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p>
      </m:oMath>
      <w:r>
        <w:rPr>
          <w:iCs/>
          <w:i/>
        </w:rPr>
        <w:t xml:space="preserve"> </w:t>
      </w:r>
      <w:r>
        <w:rPr>
          <w:iCs/>
          <w:i/>
        </w:rPr>
        <w:t xml:space="preserve">the path under</w:t>
      </w:r>
      <w:r>
        <w:rPr>
          <w:iCs/>
          <w:i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t</m:t>
            </m:r>
            <m:r>
              <m:rPr>
                <m:sty m:val="p"/>
              </m:rPr>
              <m:t>&lt;</m:t>
            </m:r>
            <m:r>
              <m:t>T</m:t>
            </m:r>
          </m:e>
        </m:d>
      </m:oMath>
      <w:r>
        <w:rPr>
          <w:iCs/>
          <w:i/>
        </w:rPr>
        <w:t xml:space="preserve">, both</w:t>
      </w:r>
      <w:r>
        <w:rPr>
          <w:iCs/>
          <w:i/>
        </w:rPr>
        <w:t xml:space="preserve"> </w:t>
      </w:r>
      <w:r>
        <w:rPr>
          <w:iCs/>
          <w:i/>
        </w:rPr>
        <w:t xml:space="preserve">with the same initial state and the same inputs</w:t>
      </w:r>
      <w:r>
        <w:rPr>
          <w:iCs/>
          <w:i/>
        </w:rPr>
        <w:t xml:space="preserve"> </w:t>
      </w:r>
      <m:oMath>
        <m:r>
          <m:t>κ</m:t>
        </m:r>
      </m:oMath>
      <w:r>
        <w:rPr>
          <w:iCs/>
          <w:i/>
        </w:rPr>
        <w:t xml:space="preserve">. Then:</w:t>
      </w:r>
    </w:p>
    <w:p>
      <w:pPr>
        <w:numPr>
          <w:ilvl w:val="0"/>
          <w:numId w:val="1001"/>
        </w:numPr>
      </w:pPr>
      <m:oMath>
        <m:sSubSup>
          <m:e>
            <m:r>
              <m:t>S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bSup>
        <m:r>
          <m:rPr>
            <m:sty m:val="p"/>
          </m:rPr>
          <m:t>−</m:t>
        </m:r>
        <m:sSubSup>
          <m:e>
            <m:r>
              <m:t>S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bSup>
        <m:r>
          <m:rPr>
            <m:sty m:val="p"/>
          </m:rPr>
          <m:t>=</m:t>
        </m:r>
        <m:r>
          <m:t>s</m:t>
        </m:r>
        <m:r>
          <m:t> </m:t>
        </m:r>
        <m:sSub>
          <m:e>
            <m:r>
              <m:t>τ</m:t>
            </m:r>
          </m:e>
          <m:sub>
            <m:r>
              <m:t>j</m:t>
            </m:r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for all</w:t>
      </w:r>
      <w:r>
        <w:rPr>
          <w:iCs/>
          <w:i/>
        </w:rPr>
        <w:t xml:space="preserve"> </w:t>
      </w:r>
      <m:oMath>
        <m:r>
          <m:t>j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r>
          <m:t>t</m:t>
        </m:r>
        <m:r>
          <m:rPr>
            <m:sty m:val="p"/>
          </m:rPr>
          <m:t>&lt;</m:t>
        </m:r>
        <m:r>
          <m:t>T</m:t>
        </m:r>
      </m:oMath>
      <w:r>
        <w:rPr>
          <w:iCs/>
          <w:i/>
        </w:rPr>
        <w:t xml:space="preserve">, for every</w:t>
      </w:r>
      <w:r>
        <w:rPr>
          <w:iCs/>
          <w:i/>
        </w:rPr>
        <w:t xml:space="preserve"> </w:t>
      </w:r>
      <w:r>
        <w:rPr>
          <w:iCs/>
          <w:i/>
        </w:rPr>
        <w:t xml:space="preserve">realisation of</w:t>
      </w:r>
      <w:r>
        <w:rPr>
          <w:iCs/>
          <w:i/>
        </w:rPr>
        <w:t xml:space="preserve"> </w:t>
      </w:r>
      <m:oMath>
        <m:r>
          <m:t>κ</m:t>
        </m:r>
      </m:oMath>
      <w:r>
        <w:rPr>
          <w:iCs/>
          <w:i/>
        </w:rPr>
        <w:t xml:space="preserve">;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for every</w:t>
      </w:r>
      <w:r>
        <w:rPr>
          <w:iCs/>
          <w:i/>
        </w:rPr>
        <w:t xml:space="preserve"> </w:t>
      </w:r>
      <m:oMath>
        <m:r>
          <m:t>q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iCs/>
          <w:i/>
        </w:rPr>
        <w:t xml:space="preserve">, every law of</w:t>
      </w:r>
      <w:r>
        <w:rPr>
          <w:iCs/>
          <w:i/>
        </w:rPr>
        <w:t xml:space="preserve"> </w:t>
      </w:r>
      <m:oMath>
        <m:r>
          <m:t>κ</m:t>
        </m:r>
      </m:oMath>
      <w:r>
        <w:rPr>
          <w:iCs/>
          <w:i/>
        </w:rPr>
        <w:t xml:space="preserve">, and every flow path,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min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sSub>
                <m:e>
                  <m:r>
                    <m:t>τ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t>Δ</m:t>
          </m:r>
          <m:sSub>
            <m:e>
              <m:r>
                <m:rPr>
                  <m:nor/>
                  <m:sty m:val="p"/>
                </m:rPr>
                <m:t>OC-CoVaR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 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i</m:t>
              </m:r>
            </m:e>
          </m:d>
          <m:r>
            <m:t> </m:t>
          </m:r>
          <m:r>
            <m:rPr>
              <m:sty m:val="p"/>
            </m:rPr>
            <m:t>≤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max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sSub>
                <m:e>
                  <m:r>
                    <m:t>τ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,</m:t>
          </m:r>
        </m:oMath>
      </m:oMathPara>
      <w:r>
        <w:rPr>
          <w:iCs/>
          <w:i/>
        </w:rPr>
        <w:t xml:space="preserve"> </w:t>
      </w:r>
      <w:r>
        <w:rPr>
          <w:iCs/>
          <w:i/>
        </w:rPr>
        <w:t xml:space="preserve">where</w:t>
      </w:r>
      <w:r>
        <w:rPr>
          <w:iCs/>
          <w:i/>
        </w:rPr>
        <w:t xml:space="preserve"> </w:t>
      </w:r>
      <m:oMath>
        <m:r>
          <m:t>Δ</m:t>
        </m:r>
        <m:sSub>
          <m:e>
            <m:r>
              <m:rPr>
                <m:nor/>
                <m:sty m:val="p"/>
              </m:rPr>
              <m:t>OC-CoVaR</m:t>
            </m:r>
          </m:e>
          <m:sub>
            <m:r>
              <m:t>q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t> </m:t>
            </m:r>
            <m:r>
              <m:rPr>
                <m:sty m:val="p"/>
              </m:rPr>
              <m:t>|</m:t>
            </m:r>
            <m:r>
              <m:t> </m:t>
            </m:r>
            <m:r>
              <m:t>i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is defined as in</w:t>
      </w:r>
      <w:r>
        <w:rPr>
          <w:iCs/>
          <w:i/>
        </w:rPr>
        <w:t xml:space="preserve"> </w:t>
      </w:r>
      <w:hyperlink w:anchor="eq:deltaoccovar">
        <w:r>
          <w:rPr>
            <w:rStyle w:val="Hyperlink"/>
            <w:iCs/>
            <w:i/>
          </w:rPr>
          <w:t xml:space="preserve">[eq:deltaoccovar]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with</w:t>
      </w:r>
      <w:r>
        <w:rPr>
          <w:iCs/>
          <w:i/>
        </w:rPr>
        <w:t xml:space="preserve"> </w:t>
      </w:r>
      <m:oMath>
        <m:r>
          <m:t>s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in</w:t>
      </w:r>
      <w:r>
        <w:rPr>
          <w:iCs/>
          <w:i/>
        </w:rPr>
        <w:t xml:space="preserve"> </w:t>
      </w:r>
      <w:r>
        <w:rPr>
          <w:iCs/>
          <w:i/>
        </w:rPr>
        <w:t xml:space="preserve">place of</w:t>
      </w:r>
      <w:r>
        <w:rPr>
          <w:iCs/>
          <w:i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Cs/>
          <w:i/>
        </w:rPr>
        <w:t xml:space="preserve">, and the bounds also hold for the Monte-Carlo estimator when both</w:t>
      </w:r>
      <w:r>
        <w:rPr>
          <w:iCs/>
          <w:i/>
        </w:rPr>
        <w:t xml:space="preserve"> </w:t>
      </w:r>
      <w:r>
        <w:rPr>
          <w:iCs/>
          <w:i/>
        </w:rPr>
        <w:t xml:space="preserve">interventions use the same shock draws.</w:t>
      </w:r>
    </w:p>
    <w:bookmarkEnd w:id="27"/>
    <w:bookmarkStart w:id="28" w:name="cor:pure"/>
    <w:p>
      <w:pPr>
        <w:pStyle w:val="FirstParagraph"/>
      </w:pPr>
      <w:r>
        <w:rPr>
          <w:bCs/>
          <w:b/>
        </w:rPr>
        <w:t xml:space="preserve">Corollary 1</w:t>
      </w:r>
      <w:r>
        <w:t xml:space="preserve"> </w:t>
      </w:r>
      <w:r>
        <w:t xml:space="preserve">(Per-period multiplier).</w:t>
      </w:r>
      <w:r>
        <w:t xml:space="preserve"> </w:t>
      </w:r>
      <w:r>
        <w:t xml:space="preserve"> </w:t>
      </w:r>
      <w:r>
        <w:rPr>
          <w:iCs/>
          <w:i/>
        </w:rPr>
        <w:t xml:space="preserve">For</w:t>
      </w:r>
      <w:r>
        <w:rPr>
          <w:iCs/>
          <w:i/>
        </w:rPr>
        <w:t xml:space="preserve"> </w:t>
      </w:r>
      <m:oMath>
        <m:r>
          <m:t>t</m:t>
        </m:r>
        <m:r>
          <m:rPr>
            <m:sty m:val="p"/>
          </m:rPr>
          <m:t>&lt;</m:t>
        </m:r>
        <m:r>
          <m:t>T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q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S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s</m:t>
                    </m:r>
                  </m:e>
                </m:d>
              </m:sup>
            </m:sSubSup>
          </m:e>
        </m:d>
        <m:r>
          <m:rPr>
            <m:sty m:val="p"/>
          </m:rPr>
          <m:t>−</m:t>
        </m:r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q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S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</m:sup>
            </m:sSubSup>
          </m:e>
        </m:d>
        <m:r>
          <m:rPr>
            <m:sty m:val="p"/>
          </m:rPr>
          <m:t>=</m:t>
        </m:r>
        <m:r>
          <m:t>s</m:t>
        </m:r>
        <m:r>
          <m:t> </m:t>
        </m:r>
        <m:sSub>
          <m:e>
            <m:r>
              <m:t>τ</m:t>
            </m:r>
          </m:e>
          <m:sub>
            <m:r>
              <m:t>j</m:t>
            </m:r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for every</w:t>
      </w:r>
      <w:r>
        <w:rPr>
          <w:iCs/>
          <w:i/>
        </w:rPr>
        <w:t xml:space="preserve"> </w:t>
      </w:r>
      <m:oMath>
        <m:r>
          <m:t>q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and every law of</w:t>
      </w:r>
      <w:r>
        <w:rPr>
          <w:iCs/>
          <w:i/>
        </w:rPr>
        <w:t xml:space="preserve"> </w:t>
      </w:r>
      <m:oMath>
        <m:r>
          <m:t>κ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(immediate from Proposition </w:t>
      </w:r>
      <w:hyperlink w:anchor="prop:A">
        <w:r>
          <w:rPr>
            <w:rStyle w:val="Hyperlink"/>
            <w:iCs/>
            <w:i/>
          </w:rPr>
          <w:t xml:space="preserve">2</w:t>
        </w:r>
      </w:hyperlink>
      <w:r>
        <w:rPr>
          <w:iCs/>
          <w:i/>
        </w:rPr>
        <w:t xml:space="preserve">(a)). The per-period effect is a deterministic network</w:t>
      </w:r>
      <w:r>
        <w:rPr>
          <w:iCs/>
          <w:i/>
        </w:rPr>
        <w:t xml:space="preserve"> </w:t>
      </w:r>
      <w:r>
        <w:rPr>
          <w:iCs/>
          <w:i/>
        </w:rPr>
        <w:t xml:space="preserve">multiplier.</w:t>
      </w:r>
    </w:p>
    <w:bookmarkEnd w:id="28"/>
    <w:bookmarkStart w:id="29" w:name="cor:zero"/>
    <w:p>
      <w:pPr>
        <w:pStyle w:val="BodyText"/>
      </w:pPr>
      <w:r>
        <w:rPr>
          <w:bCs/>
          <w:b/>
        </w:rPr>
        <w:t xml:space="preserve">Corollary 2</w:t>
      </w:r>
      <w:r>
        <w:t xml:space="preserve"> </w:t>
      </w:r>
      <w:r>
        <w:t xml:space="preserve">(Zero by construction).</w:t>
      </w:r>
      <w:r>
        <w:t xml:space="preserve"> </w:t>
      </w:r>
      <w:r>
        <w:t xml:space="preserve"> </w:t>
      </w:r>
      <w:r>
        <w:rPr>
          <w:iCs/>
          <w:i/>
        </w:rPr>
        <w:t xml:space="preserve">If there is no directed path from</w:t>
      </w:r>
      <w:r>
        <w:rPr>
          <w:iCs/>
          <w:i/>
        </w:rPr>
        <w:t xml:space="preserve"> </w:t>
      </w:r>
      <m:oMath>
        <m:r>
          <m:t>i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to</w:t>
      </w:r>
      <w:r>
        <w:rPr>
          <w:iCs/>
          <w:i/>
        </w:rPr>
        <w:t xml:space="preserve"> </w:t>
      </w:r>
      <m:oMath>
        <m:r>
          <m:t>j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of length at most</w:t>
      </w:r>
      <w:r>
        <w:rPr>
          <w:iCs/>
          <w:i/>
        </w:rP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rPr>
          <w:iCs/>
          <w:i/>
        </w:rPr>
        <w:t xml:space="preserve">, then</w:t>
      </w:r>
      <w:r>
        <w:rPr>
          <w:iCs/>
          <w:i/>
        </w:rPr>
        <w:t xml:space="preserve"> </w:t>
      </w:r>
      <m:oMath>
        <m:sSub>
          <m:e>
            <m:r>
              <m:t>τ</m:t>
            </m:r>
          </m:e>
          <m:sub>
            <m:r>
              <m:t>j</m:t>
            </m:r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for all</w:t>
      </w:r>
      <w:r>
        <w:rPr>
          <w:iCs/>
          <w:i/>
        </w:rPr>
        <w:t xml:space="preserve"> </w:t>
      </w:r>
      <m:oMath>
        <m:r>
          <m:t>t</m:t>
        </m:r>
        <m:r>
          <m:rPr>
            <m:sty m:val="p"/>
          </m:rPr>
          <m:t>&lt;</m:t>
        </m:r>
        <m:r>
          <m:t>T</m:t>
        </m:r>
      </m:oMath>
      <w:r>
        <w:rPr>
          <w:iCs/>
          <w:i/>
        </w:rPr>
        <w:t xml:space="preserve">, so</w:t>
      </w:r>
      <w:r>
        <w:rPr>
          <w:iCs/>
          <w:i/>
        </w:rPr>
        <w:t xml:space="preserve"> </w:t>
      </w:r>
      <m:oMath>
        <m:r>
          <m:t>Δ</m:t>
        </m:r>
        <m:sSub>
          <m:e>
            <m:r>
              <m:rPr>
                <m:nor/>
                <m:sty m:val="p"/>
              </m:rPr>
              <m:t>OC-CoVaR</m:t>
            </m:r>
          </m:e>
          <m:sub>
            <m:r>
              <m:t>q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t> </m:t>
            </m:r>
            <m:r>
              <m:rPr>
                <m:sty m:val="p"/>
              </m:rPr>
              <m:t>|</m:t>
            </m:r>
            <m:r>
              <m:t> </m:t>
            </m:r>
            <m:r>
              <m:t>i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for every</w:t>
      </w:r>
      <w:r>
        <w:rPr>
          <w:iCs/>
          <w:i/>
        </w:rPr>
        <w:t xml:space="preserve"> </w:t>
      </w:r>
      <m:oMath>
        <m:r>
          <m:t>q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and every</w:t>
      </w:r>
      <w:r>
        <w:rPr>
          <w:iCs/>
          <w:i/>
        </w:rPr>
        <w:t xml:space="preserve"> </w:t>
      </w:r>
      <w:r>
        <w:rPr>
          <w:iCs/>
          <w:i/>
        </w:rPr>
        <w:t xml:space="preserve">law of</w:t>
      </w:r>
      <w:r>
        <w:rPr>
          <w:iCs/>
          <w:i/>
        </w:rPr>
        <w:t xml:space="preserve"> </w:t>
      </w:r>
      <m:oMath>
        <m:r>
          <m:t>κ</m:t>
        </m:r>
      </m:oMath>
      <w:r>
        <w:rPr>
          <w:iCs/>
          <w:i/>
        </w:rPr>
        <w:t xml:space="preserve">. The same holds for the counterfactual attribution,</w:t>
      </w:r>
      <w:r>
        <w:rPr>
          <w:iCs/>
          <w:i/>
        </w:rPr>
        <w:t xml:space="preserve"> </w:t>
      </w:r>
      <m:oMath>
        <m:sSubSup>
          <m:e>
            <m:r>
              <m:t>Δ</m:t>
            </m:r>
          </m:e>
          <m:sub>
            <m:r>
              <m:t>i</m:t>
            </m:r>
          </m:sub>
          <m:sup>
            <m:r>
              <m:t>C</m:t>
            </m:r>
            <m:r>
              <m:t>F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iCs/>
          <w:i/>
        </w:rPr>
        <w:t xml:space="preserve">.</w:t>
      </w:r>
    </w:p>
    <w:bookmarkEnd w:id="29"/>
    <w:bookmarkStart w:id="30" w:name="cor:bound"/>
    <w:p>
      <w:pPr>
        <w:pStyle w:val="BodyText"/>
      </w:pPr>
      <w:r>
        <w:rPr>
          <w:bCs/>
          <w:b/>
        </w:rPr>
        <w:t xml:space="preserve">Corollary 3</w:t>
      </w:r>
      <w:r>
        <w:t xml:space="preserve"> </w:t>
      </w:r>
      <w:r>
        <w:t xml:space="preserve">(Exported-risk bound and long-run multiplier).</w:t>
      </w:r>
      <w:r>
        <w:t xml:space="preserve"> </w:t>
      </w:r>
      <w:r>
        <w:t xml:space="preserve"> </w:t>
      </w:r>
      <w:r>
        <w:rPr>
          <w:iCs/>
          <w:i/>
        </w:rPr>
        <w:t xml:space="preserve">Let</w:t>
      </w:r>
      <w:r>
        <w:rPr>
          <w:iCs/>
          <w:i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≠</m:t>
            </m:r>
            <m:r>
              <m:t>i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t</m:t>
                </m:r>
                <m:r>
                  <m:rPr>
                    <m:sty m:val="p"/>
                  </m:rPr>
                  <m:t>&lt;</m:t>
                </m:r>
                <m:r>
                  <m:t>T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max</m:t>
                </m:r>
              </m:e>
            </m:nary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τ</m:t>
                </m:r>
              </m:e>
              <m:sub>
                <m:r>
                  <m:t>j</m:t>
                </m:r>
                <m:r>
                  <m:t>i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iCs/>
          <w:i/>
        </w:rPr>
        <w:t xml:space="preserve">. Then</w:t>
      </w:r>
      <w:r>
        <w:rPr>
          <w:iCs/>
          <w:i/>
        </w:rPr>
        <w:t xml:space="preserve"> </w:t>
      </w:r>
      <w:r>
        <w:rPr>
          <w:iCs/>
          <w:i/>
        </w:rPr>
        <w:t xml:space="preserve">(i)</w:t>
      </w:r>
      <w:r>
        <w:rPr>
          <w:iCs/>
          <w:i/>
        </w:rPr>
        <w:t xml:space="preserve"> </w:t>
      </w:r>
      <m:oMath>
        <m:r>
          <m:rPr>
            <m:sty m:val="p"/>
            <m:scr m:val="script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≤</m:t>
        </m:r>
        <m:r>
          <m:t>s</m:t>
        </m:r>
        <m:r>
          <m:t> </m:t>
        </m:r>
        <m:sSub>
          <m:e>
            <m:r>
              <m:t>Λ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iCs/>
          <w:i/>
        </w:rPr>
        <w:t xml:space="preserve">, and</w:t>
      </w:r>
      <w:r>
        <w:rPr>
          <w:iCs/>
          <w:i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implies</w:t>
      </w:r>
      <w:r>
        <w:rPr>
          <w:iCs/>
          <w:i/>
        </w:rPr>
        <w:t xml:space="preserve"> </w:t>
      </w:r>
      <m:oMath>
        <m:r>
          <m:rPr>
            <m:sty m:val="p"/>
            <m:scr m:val="script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iCs/>
          <w:i/>
        </w:rPr>
        <w:t xml:space="preserve">;</w:t>
      </w:r>
      <w:r>
        <w:rPr>
          <w:iCs/>
          <w:i/>
        </w:rPr>
        <w:t xml:space="preserve"> </w:t>
      </w:r>
      <w:r>
        <w:rPr>
          <w:iCs/>
          <w:i/>
        </w:rPr>
        <w:t xml:space="preserve">(ii) if</w:t>
      </w:r>
      <w:r>
        <w:rPr>
          <w:iCs/>
          <w:i/>
        </w:rP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</m:sub>
            </m:sSub>
          </m:e>
        </m:d>
        <m:r>
          <m:rPr>
            <m:sty m:val="p"/>
          </m:rPr>
          <m:t>&lt;</m:t>
        </m:r>
        <m:r>
          <m:t>1</m:t>
        </m:r>
      </m:oMath>
      <w:r>
        <w:rPr>
          <w:iCs/>
          <w:i/>
        </w:rPr>
        <w:t xml:space="preserve">, then</w:t>
      </w:r>
      <w:r>
        <w:rPr>
          <w:iCs/>
          <w:i/>
        </w:rP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⋅</m:t>
            </m:r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sSup>
          <m:e>
            <m:r>
              <m:t>m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A</m:t>
            </m:r>
          </m:e>
          <m:sub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as</w:t>
      </w:r>
      <w:r>
        <w:rPr>
          <w:iCs/>
          <w:i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iCs/>
          <w:i/>
        </w:rPr>
        <w:t xml:space="preserve">, so</w:t>
      </w:r>
      <w:r>
        <w:rPr>
          <w:iCs/>
          <w:i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/</m:t>
        </m:r>
        <m:r>
          <m:t>T</m:t>
        </m:r>
        <m:r>
          <m:rPr>
            <m:sty m:val="p"/>
          </m:rPr>
          <m:t>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≠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max</m:t>
            </m:r>
          </m:e>
        </m:nary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m</m:t>
                </m:r>
              </m:e>
              <m:sub>
                <m:r>
                  <m:t>j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</m:sup>
            </m:sSubSup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iCs/>
          <w:i/>
        </w:rPr>
        <w:t xml:space="preserve">.</w:t>
      </w:r>
    </w:p>
    <w:bookmarkEnd w:id="30"/>
    <w:p>
      <w:pPr>
        <w:pStyle w:val="BodyText"/>
      </w:pPr>
      <w:r>
        <w:t xml:space="preserve">Proposition </w:t>
      </w:r>
      <w:hyperlink w:anchor="prop:A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implies that the interventional effect is a pure network multiplier: it depends on the graph and the coefficients, not on flows, intercepts or the shock law. Proofs are in Appendix </w:t>
      </w:r>
      <w:hyperlink w:anchor="app:proofs">
        <w:r>
          <w:rPr>
            <w:rStyle w:val="Hyperlink"/>
          </w:rPr>
          <w:t xml:space="preserve">9</w:t>
        </w:r>
      </w:hyperlink>
      <w:r>
        <w:t xml:space="preserve">.</w:t>
      </w:r>
    </w:p>
    <w:bookmarkStart w:id="31" w:name="prop:B"/>
    <w:p>
      <w:pPr>
        <w:pStyle w:val="BodyText"/>
      </w:pPr>
      <w:r>
        <w:rPr>
          <w:bCs/>
          <w:b/>
        </w:rPr>
        <w:t xml:space="preserve">Proposition 3</w:t>
      </w:r>
      <w:r>
        <w:t xml:space="preserve"> </w:t>
      </w:r>
      <w:r>
        <w:t xml:space="preserve">(Abduction invariance of the stress deviation).</w:t>
      </w:r>
      <w:r>
        <w:t xml:space="preserve"> </w:t>
      </w:r>
      <w:r>
        <w:t xml:space="preserve"> </w:t>
      </w:r>
      <w:r>
        <w:rPr>
          <w:iCs/>
          <w:i/>
        </w:rPr>
        <w:t xml:space="preserve">Let</w:t>
      </w:r>
      <w:r>
        <w:rPr>
          <w:iCs/>
          <w:i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f</m:t>
            </m:r>
          </m:sup>
        </m:sSup>
      </m:oMath>
      <w:r>
        <w:rPr>
          <w:iCs/>
          <w:i/>
        </w:rPr>
        <w:t xml:space="preserve"> </w:t>
      </w:r>
      <w:r>
        <w:rPr>
          <w:iCs/>
          <w:i/>
        </w:rPr>
        <w:t xml:space="preserve">be a reference path that satisfies</w:t>
      </w:r>
      <w:r>
        <w:rPr>
          <w:iCs/>
          <w:i/>
        </w:rPr>
        <w:t xml:space="preserve"> </w:t>
      </w:r>
      <w:hyperlink w:anchor="eq:linear">
        <w:r>
          <w:rPr>
            <w:rStyle w:val="Hyperlink"/>
            <w:iCs/>
            <w:i/>
          </w:rPr>
          <w:t xml:space="preserve">[eq:linear]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for entities</w:t>
      </w:r>
      <w:r>
        <w:rPr>
          <w:iCs/>
          <w:i/>
        </w:rPr>
        <w:t xml:space="preserve"> </w:t>
      </w:r>
      <w:r>
        <w:rPr>
          <w:iCs/>
          <w:i/>
        </w:rPr>
        <w:t xml:space="preserve">outside a set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, generated with inputs</w:t>
      </w:r>
      <w:r>
        <w:rPr>
          <w:iCs/>
          <w:i/>
        </w:rPr>
        <w:t xml:space="preserve"> </w:t>
      </w:r>
      <m:oMath>
        <m:r>
          <m:t>κ</m:t>
        </m:r>
      </m:oMath>
      <w:r>
        <w:rPr>
          <w:iCs/>
          <w:i/>
        </w:rPr>
        <w:t xml:space="preserve">. For</w:t>
      </w:r>
      <w:r>
        <w:rPr>
          <w:iCs/>
          <w:i/>
        </w:rPr>
        <w:t xml:space="preserve"> </w:t>
      </w:r>
      <m:oMath>
        <m:r>
          <m:t>k</m:t>
        </m:r>
        <m:r>
          <m:rPr>
            <m:sty m:val="p"/>
          </m:rPr>
          <m:t>∈</m:t>
        </m:r>
        <m: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let</w:t>
      </w:r>
      <w:r>
        <w:rPr>
          <w:iCs/>
          <w:i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be</w:t>
      </w:r>
      <w:r>
        <w:rPr>
          <w:iCs/>
          <w:i/>
        </w:rPr>
        <w:t xml:space="preserve"> </w:t>
      </w:r>
      <w:r>
        <w:rPr>
          <w:iCs/>
          <w:i/>
        </w:rPr>
        <w:t xml:space="preserve">prescribed levels, and define</w:t>
      </w:r>
      <w:r>
        <w:rPr>
          <w:iCs/>
          <w:i/>
        </w:rP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S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f</m:t>
            </m:r>
          </m:sup>
        </m:sSubSup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iCs/>
          <w:i/>
        </w:rPr>
        <w:t xml:space="preserve">. Let</w:t>
      </w:r>
      <w:r>
        <w:rPr>
          <w:iCs/>
          <w:i/>
        </w:rPr>
        <w:t xml:space="preserve"> </w:t>
      </w:r>
      <m:oMath>
        <m:sSup>
          <m:e>
            <m:r>
              <m:t>S</m:t>
            </m:r>
          </m:e>
          <m:sup>
            <m:r>
              <m:t>K</m:t>
            </m:r>
          </m:sup>
        </m:sSup>
      </m:oMath>
      <w:r>
        <w:rPr>
          <w:iCs/>
          <w:i/>
        </w:rPr>
        <w:t xml:space="preserve"> </w:t>
      </w:r>
      <w:r>
        <w:rPr>
          <w:iCs/>
          <w:i/>
        </w:rPr>
        <w:t xml:space="preserve">be the path</w:t>
      </w:r>
      <w:r>
        <w:rPr>
          <w:iCs/>
          <w:i/>
        </w:rPr>
        <w:t xml:space="preserve"> </w:t>
      </w:r>
      <w:r>
        <w:rPr>
          <w:iCs/>
          <w:i/>
        </w:rPr>
        <w:t xml:space="preserve">under</w:t>
      </w:r>
      <w:r>
        <w:rPr>
          <w:iCs/>
          <w:i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p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k</m:t>
            </m:r>
            <m:r>
              <m:rPr>
                <m:sty m:val="p"/>
              </m:rPr>
              <m:t>∈</m:t>
            </m:r>
            <m:r>
              <m:t>K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with the same initial state and inputs. Then</w:t>
      </w:r>
      <w:r>
        <w:rPr>
          <w:iCs/>
          <w:i/>
        </w:rPr>
        <w:t xml:space="preserve"> </w:t>
      </w:r>
      <m:oMath>
        <m:sSup>
          <m:e>
            <m:r>
              <m:t>S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rPr>
                <m:sty m:val="p"/>
              </m:rPr>
              <m:t>f</m:t>
            </m:r>
          </m:sup>
        </m:sSup>
        <m:r>
          <m:rPr>
            <m:sty m:val="p"/>
          </m:rPr>
          <m:t>−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rPr>
          <w:iCs/>
          <w:i/>
        </w:rPr>
        <w:t xml:space="preserve">, where</w:t>
      </w:r>
      <w:r>
        <w:rPr>
          <w:iCs/>
          <w:i/>
        </w:rPr>
        <w:t xml:space="preserve"> </w:t>
      </w:r>
      <m:oMath>
        <m:r>
          <m:t>r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 the linear propagation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∈</m:t>
              </m:r>
              <m:r>
                <m:t>K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p</m:t>
                  </m:r>
                </m:sub>
              </m:sSub>
            </m:e>
          </m:nary>
          <m:r>
            <m:t> </m:t>
          </m:r>
          <m:sSub>
            <m:e>
              <m:r>
                <m:t>r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rPr>
                  <m:sty m:val="p"/>
                </m:rPr>
                <m:t>∉</m:t>
              </m:r>
              <m:r>
                <m:t>K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  <w:r>
        <w:rPr>
          <w:iCs/>
          <w:i/>
        </w:rPr>
        <w:t xml:space="preserve"> </w:t>
      </w:r>
      <w:r>
        <w:rPr>
          <w:iCs/>
          <w:i/>
        </w:rPr>
        <w:t xml:space="preserve">Consequently, for the counterfactual</w:t>
      </w:r>
      <w:r>
        <w:rPr>
          <w:iCs/>
          <w:i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≡</m:t>
        </m:r>
        <m:sSubSup>
          <m:e>
            <m:r>
              <m:t>S</m:t>
            </m:r>
          </m:e>
          <m:sub>
            <m:r>
              <m:t>i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p>
        </m:sSubSup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sSubSup>
            <m:e>
              <m:r>
                <m:t>Δ</m:t>
              </m:r>
            </m:e>
            <m:sub>
              <m:r>
                <m:t>i</m:t>
              </m:r>
            </m:sub>
            <m:sup>
              <m:r>
                <m:t>C</m:t>
              </m:r>
              <m:r>
                <m:t>F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f</m:t>
                          </m:r>
                        </m:sup>
                      </m:sSubSup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f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{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e>
                      </m:d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e>
                  </m:d>
                </m:e>
              </m:d>
            </m:e>
          </m:nary>
          <m:r>
            <m:rPr>
              <m:sty m:val="p"/>
            </m:rPr>
            <m:t>.</m:t>
          </m:r>
        </m:oMath>
      </m:oMathPara>
      <w:r>
        <w:rPr>
          <w:iCs/>
          <w:i/>
        </w:rPr>
        <w:t xml:space="preserve"> </w:t>
      </w:r>
      <w:r>
        <w:rPr>
          <w:iCs/>
          <w:i/>
        </w:rPr>
        <w:t xml:space="preserve">The stress deviation</w:t>
      </w:r>
      <w:r>
        <w:rPr>
          <w:iCs/>
          <w:i/>
        </w:rPr>
        <w:t xml:space="preserve"> </w:t>
      </w:r>
      <m:oMath>
        <m:r>
          <m:t>r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does not depend on the flows, intercepts or shock values except</w:t>
      </w:r>
      <w:r>
        <w:rPr>
          <w:iCs/>
          <w:i/>
        </w:rPr>
        <w:t xml:space="preserve"> </w:t>
      </w:r>
      <w:r>
        <w:rPr>
          <w:iCs/>
          <w:i/>
        </w:rPr>
        <w:t xml:space="preserve">through the reference levels at the intervened entities. The only nonlinearity in the</w:t>
      </w:r>
      <w:r>
        <w:rPr>
          <w:iCs/>
          <w:i/>
        </w:rPr>
        <w:t xml:space="preserve"> </w:t>
      </w:r>
      <w:r>
        <w:rPr>
          <w:iCs/>
          <w:i/>
        </w:rPr>
        <w:t xml:space="preserve">attribution is the hinge</w:t>
      </w:r>
      <w:r>
        <w:rPr>
          <w:iCs/>
          <w:i/>
        </w:rP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iCs/>
          <w:i/>
        </w:rPr>
        <w:t xml:space="preserve">.</w:t>
      </w:r>
    </w:p>
    <w:bookmarkEnd w:id="31"/>
    <w:p>
      <w:pPr>
        <w:pStyle w:val="FirstParagraph"/>
      </w:pPr>
      <w:r>
        <w:t xml:space="preserve">Proposition </w:t>
      </w:r>
      <w:hyperlink w:anchor="prop:B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separates the attribution into a linear propagation and a hinge.</w:t>
      </w:r>
    </w:p>
    <w:bookmarkStart w:id="32" w:name="prop:C"/>
    <w:p>
      <w:pPr>
        <w:pStyle w:val="BodyText"/>
      </w:pPr>
      <w:r>
        <w:rPr>
          <w:bCs/>
          <w:b/>
        </w:rPr>
        <w:t xml:space="preserve">Proposition 4</w:t>
      </w:r>
      <w:r>
        <w:t xml:space="preserve"> </w:t>
      </w:r>
      <w:r>
        <w:t xml:space="preserve">(Walk representation and exact linear Shapley attribution).</w:t>
      </w:r>
      <w:r>
        <w:t xml:space="preserve"> </w:t>
      </w:r>
      <w:r>
        <w:t xml:space="preserve"> </w:t>
      </w:r>
      <w:r>
        <w:rPr>
          <w:iCs/>
          <w:i/>
        </w:rPr>
        <w:t xml:space="preserve">Let</w:t>
      </w:r>
      <w:r>
        <w:rPr>
          <w:iCs/>
          <w:i/>
        </w:rPr>
        <w:t xml:space="preserve"> </w:t>
      </w:r>
      <m:oMath>
        <m:r>
          <m:t>P</m:t>
        </m:r>
        <m:r>
          <m:rPr>
            <m:sty m:val="p"/>
          </m:rPr>
          <m:t>⊆</m:t>
        </m:r>
        <m:r>
          <m:t>V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j</m:t>
        </m:r>
        <m:r>
          <m:rPr>
            <m:sty m:val="p"/>
          </m:rPr>
          <m:t>}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be the set of candidate sources and</w:t>
      </w:r>
      <w:r>
        <w:rPr>
          <w:iCs/>
          <w:i/>
        </w:rP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as in</w:t>
      </w:r>
      <w:r>
        <w:rPr>
          <w:iCs/>
          <w:i/>
        </w:rPr>
        <w:t xml:space="preserve"> </w:t>
      </w:r>
      <w:r>
        <w:rPr>
          <w:iCs/>
          <w:i/>
        </w:rPr>
        <w:t xml:space="preserve">Proposition </w:t>
      </w:r>
      <w:hyperlink w:anchor="prop:B">
        <w:r>
          <w:rPr>
            <w:rStyle w:val="Hyperlink"/>
            <w:iCs/>
            <w:i/>
          </w:rPr>
          <w:t xml:space="preserve">3</w:t>
        </w:r>
      </w:hyperlink>
      <w:r>
        <w:rPr>
          <w:iCs/>
          <w:i/>
        </w:rPr>
        <w:t xml:space="preserve">, with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replaced by subsets of</w:t>
      </w:r>
      <w:r>
        <w:rPr>
          <w:iCs/>
          <w:i/>
        </w:rPr>
        <w:t xml:space="preserve"> </w:t>
      </w:r>
      <m:oMath>
        <m:r>
          <m:t>P</m:t>
        </m:r>
      </m:oMath>
      <w:r>
        <w:rPr>
          <w:iCs/>
          <w:i/>
        </w:rPr>
        <w:t xml:space="preserve">. Consider the two games</w:t>
      </w:r>
      <w:r>
        <w:rPr>
          <w:iCs/>
          <w:i/>
        </w:rPr>
        <w:t xml:space="preserve"> </w:t>
      </w:r>
      <w:r>
        <w:rPr>
          <w:iCs/>
          <w:i/>
        </w:rPr>
        <w:t xml:space="preserve">on</w:t>
      </w:r>
      <w:r>
        <w:rPr>
          <w:iCs/>
          <w:i/>
        </w:rPr>
        <w:t xml:space="preserve"> </w:t>
      </w:r>
      <m:oMath>
        <m:r>
          <m:t>P</m:t>
        </m:r>
      </m:oMath>
      <w:r>
        <w:rPr>
          <w:iCs/>
          <w:i/>
        </w:rPr>
        <w:t xml:space="preserve">: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f</m:t>
                          </m:r>
                        </m:sup>
                      </m:sSubSup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f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K</m:t>
                          </m:r>
                        </m:e>
                      </m:d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  <w:r>
        <w:rPr>
          <w:iCs/>
          <w:i/>
        </w:rPr>
        <w:t xml:space="preserve"> </w:t>
      </w:r>
      <w:r>
        <w:rPr>
          <w:iCs/>
          <w:i/>
        </w:rPr>
        <w:t xml:space="preserve">where</w:t>
      </w:r>
      <w:r>
        <w:rPr>
          <w:iCs/>
          <w:i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is defined by</w:t>
      </w:r>
      <w:r>
        <w:rPr>
          <w:iCs/>
          <w:i/>
        </w:rPr>
        <w:t xml:space="preserve"> </w:t>
      </w:r>
      <w:hyperlink w:anchor="eq:propagate">
        <w:r>
          <w:rPr>
            <w:rStyle w:val="Hyperlink"/>
            <w:iCs/>
            <w:i/>
          </w:rPr>
          <w:t xml:space="preserve">[eq:propagate]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with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as the intervened set. Let a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walk</w:t>
      </w:r>
      <w:r>
        <w:rPr>
          <w:iCs/>
          <w:i/>
        </w:rPr>
        <w:t xml:space="preserve"> </w:t>
      </w:r>
      <w:r>
        <w:rPr>
          <w:iCs/>
          <w:i/>
        </w:rPr>
        <w:t xml:space="preserve">be a sequence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ℓ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ℓ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with</w:t>
      </w:r>
      <w:r>
        <w:rPr>
          <w:iCs/>
          <w:i/>
        </w:rP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=</m:t>
        </m:r>
        <m:r>
          <m:t>j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ℓ</m:t>
        </m:r>
        <m:r>
          <m:rPr>
            <m:sty m:val="p"/>
          </m:rPr>
          <m:t>&lt;</m:t>
        </m:r>
        <m:r>
          <m:t>T</m:t>
        </m:r>
      </m:oMath>
      <w:r>
        <w:rPr>
          <w:iCs/>
          <w:i/>
        </w:rPr>
        <w:t xml:space="preserve">, and each step along an edge of</w:t>
      </w:r>
      <w:r>
        <w:rPr>
          <w:iCs/>
          <w:i/>
        </w:rPr>
        <w:t xml:space="preserve"> </w:t>
      </w:r>
      <m:oMath>
        <m:r>
          <m:t>G</m:t>
        </m:r>
      </m:oMath>
      <w:r>
        <w:rPr>
          <w:iCs/>
          <w:i/>
        </w:rPr>
        <w:t xml:space="preserve">; let</w:t>
      </w:r>
      <w:r>
        <w:rPr>
          <w:iCs/>
          <w:i/>
        </w:rPr>
        <w:t xml:space="preserve"> </w:t>
      </w:r>
      <m:oMath>
        <m:r>
          <m:t>ω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=</m:t>
        </m:r>
        <m:sSub>
          <m:e>
            <m:r>
              <m:t>g</m:t>
            </m:r>
          </m:e>
          <m: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sub>
        </m:sSub>
        <m:nary>
          <m:naryPr>
            <m:chr m:val="∏"/>
            <m:limLoc m:val="undOvr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s</m:t>
                    </m:r>
                  </m:sub>
                </m:sSub>
              </m:sub>
            </m:sSub>
          </m:e>
        </m:nary>
      </m:oMath>
      <w:r>
        <w:rPr>
          <w:iCs/>
          <w:i/>
        </w:rPr>
        <w:t xml:space="preserve">, let</w:t>
      </w:r>
      <w:r>
        <w:rPr>
          <w:iCs/>
          <w:i/>
        </w:rP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t>P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be the distinct candidate sources among the</w:t>
      </w:r>
      <w:r>
        <w:rPr>
          <w:iCs/>
          <w:i/>
        </w:rPr>
        <w:t xml:space="preserve"> </w:t>
      </w:r>
      <w:r>
        <w:rPr>
          <w:iCs/>
          <w:i/>
        </w:rPr>
        <w:t xml:space="preserve">intermediate nodes, and</w:t>
      </w:r>
      <w:r>
        <w:rPr>
          <w:iCs/>
          <w:i/>
        </w:rP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I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w</m:t>
                </m:r>
              </m:e>
            </m:d>
          </m:e>
        </m:d>
      </m:oMath>
      <w:r>
        <w:rPr>
          <w:iCs/>
          <w:i/>
        </w:rPr>
        <w:t xml:space="preserve">. Let</w:t>
      </w:r>
      <w:r>
        <w:rPr>
          <w:iCs/>
          <w:i/>
        </w:rPr>
        <w:t xml:space="preserve"> </w:t>
      </w:r>
      <m:oMath>
        <m:r>
          <m:rPr>
            <m:sty m:val="p"/>
            <m:scr m:val="script"/>
          </m:rPr>
          <m:t>W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be the set of walks with</w:t>
      </w:r>
      <w:r>
        <w:rPr>
          <w:iCs/>
          <w:i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P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that do not revisit</w:t>
      </w:r>
      <w:r>
        <w:rPr>
          <w:iCs/>
          <w:i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iCs/>
          <w:i/>
        </w:rPr>
        <w:t xml:space="preserve">. Then:</w:t>
      </w:r>
    </w:p>
    <w:p>
      <w:pPr>
        <w:numPr>
          <w:ilvl w:val="0"/>
          <w:numId w:val="1002"/>
        </w:numPr>
      </w:pP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w</m:t>
            </m:r>
            <m:r>
              <m:rPr>
                <m:sty m:val="p"/>
              </m:rPr>
              <m:t>∈</m:t>
            </m:r>
            <m:r>
              <m:rPr>
                <m:sty m:val="p"/>
                <m:scr m:val="script"/>
              </m:rPr>
              <m:t>W</m:t>
            </m:r>
          </m:sub>
          <m:sup>
            <m:r>
              <m:t>​</m:t>
            </m:r>
          </m:sup>
          <m:e>
            <m:r>
              <m:t>ω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t> </m:t>
        </m:r>
        <m:r>
          <m:rPr>
            <m:sty m:val="b"/>
          </m:rPr>
          <m:t>1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∈</m:t>
            </m:r>
            <m:r>
              <m:t>K</m:t>
            </m:r>
            <m:r>
              <m:rPr>
                <m:sty m:val="p"/>
              </m:rPr>
              <m:t>,</m:t>
            </m:r>
            <m:r>
              <m:t> </m:t>
            </m:r>
            <m:r>
              <m:t>I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w</m:t>
                </m:r>
              </m:e>
            </m:d>
            <m:r>
              <m:rPr>
                <m:sty m:val="p"/>
              </m:rPr>
              <m:t>∩</m:t>
            </m:r>
            <m: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∅</m:t>
            </m:r>
          </m:e>
        </m:d>
      </m:oMath>
      <w:r>
        <w:rPr>
          <w:iCs/>
          <w:i/>
        </w:rPr>
        <w:t xml:space="preserve">;</w:t>
      </w:r>
    </w:p>
    <w:p>
      <w:pPr>
        <w:numPr>
          <w:ilvl w:val="0"/>
          <w:numId w:val="1002"/>
        </w:numPr>
      </w:pPr>
      <w:r>
        <w:rPr>
          <w:iCs/>
          <w:i/>
        </w:rPr>
        <w:t xml:space="preserve">the Shapley value of</w:t>
      </w:r>
      <w:r>
        <w:rPr>
          <w:iCs/>
          <w:i/>
        </w:rPr>
        <w:t xml:space="preserve"> </w:t>
      </w:r>
      <m:oMath>
        <m:r>
          <m:t>v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is, for</w:t>
      </w:r>
      <w:r>
        <w:rPr>
          <w:iCs/>
          <w:i/>
        </w:rPr>
        <w:t xml:space="preserve"> </w:t>
      </w:r>
      <m:oMath>
        <m:r>
          <m:t>k</m:t>
        </m:r>
        <m:r>
          <m:rPr>
            <m:sty m:val="p"/>
          </m:rPr>
          <m:t>∈</m:t>
        </m:r>
        <m:r>
          <m:t>P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w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W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w</m:t>
                      </m:r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w</m:t>
                      </m:r>
                    </m:e>
                  </m:d>
                </m:den>
              </m:f>
            </m:e>
          </m:nary>
          <m:r>
            <m:t> </m:t>
          </m:r>
          <m:r>
            <m:rPr>
              <m:sty m:val="p"/>
            </m:rPr>
            <m:t>−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w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W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k</m:t>
              </m:r>
              <m:r>
                <m:rPr>
                  <m:sty m:val="p"/>
                </m:rPr>
                <m:t>∈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</m:e>
              </m:d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w</m:t>
                      </m:r>
                    </m:e>
                  </m:d>
                </m:num>
                <m:den>
                  <m:r>
                    <m:t>m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w</m:t>
                      </m:r>
                    </m:e>
                  </m:d>
                  <m:r>
                    <m:t>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w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e>
          </m:nary>
          <m:r>
            <m:rPr>
              <m:sty m:val="p"/>
            </m:rPr>
            <m:t>;</m:t>
          </m:r>
        </m:oMath>
      </m:oMathPara>
    </w:p>
    <w:p>
      <w:pPr>
        <w:numPr>
          <w:ilvl w:val="0"/>
          <w:numId w:val="1002"/>
        </w:numPr>
      </w:pP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∈</m:t>
            </m:r>
            <m:r>
              <m:t>P</m:t>
            </m:r>
          </m:sub>
          <m:sup>
            <m:r>
              <m:t>​</m:t>
            </m:r>
          </m:sup>
          <m:e>
            <m:sSub>
              <m:e>
                <m:r>
                  <m:t>ϕ</m:t>
                </m:r>
              </m:e>
              <m:sub>
                <m:r>
                  <m:t>k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  <m:r>
          <m:rPr>
            <m:sty m:val="p"/>
          </m:rPr>
          <m:t>=</m:t>
        </m:r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w</m:t>
            </m:r>
            <m:r>
              <m:rPr>
                <m:sty m:val="p"/>
              </m:rPr>
              <m:t>∈</m:t>
            </m:r>
            <m:r>
              <m:rPr>
                <m:sty m:val="p"/>
                <m:scr m:val="script"/>
              </m:rPr>
              <m:t>W</m:t>
            </m:r>
            <m:r>
              <m:rPr>
                <m:sty m:val="p"/>
              </m:rPr>
              <m:t>:</m:t>
            </m:r>
            <m:r>
              <m:t> </m:t>
            </m:r>
            <m:r>
              <m:t>I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w</m:t>
                </m:r>
              </m:e>
            </m:d>
            <m:r>
              <m:rPr>
                <m:sty m:val="p"/>
              </m:rPr>
              <m:t>=</m:t>
            </m:r>
            <m:r>
              <m:rPr>
                <m:sty m:val="p"/>
              </m:rPr>
              <m:t>∅</m:t>
            </m:r>
          </m:sub>
          <m:sup>
            <m:r>
              <m:t>​</m:t>
            </m:r>
          </m:sup>
          <m:e>
            <m:r>
              <m:t>ω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rPr>
          <w:iCs/>
          <w:i/>
        </w:rPr>
        <w:t xml:space="preserve">;</w:t>
      </w:r>
    </w:p>
    <w:p>
      <w:pPr>
        <w:numPr>
          <w:ilvl w:val="0"/>
          <w:numId w:val="1002"/>
        </w:numPr>
      </w:pPr>
      <w:r>
        <w:rPr>
          <w:iCs/>
          <w:i/>
        </w:rPr>
        <w:t xml:space="preserve">if</w:t>
      </w:r>
      <w:r>
        <w:rPr>
          <w:iCs/>
          <w:i/>
        </w:rPr>
        <w:t xml:space="preserve"> </w:t>
      </w:r>
      <m:oMath>
        <m:sSubSup>
          <m:e>
            <m:r>
              <m:t>S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f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sSubSup>
          <m:e>
            <m:r>
              <m:t>S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f</m:t>
            </m:r>
          </m:sup>
        </m:sSubSup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≥</m:t>
        </m:r>
        <m:r>
          <m:t>0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for all</w:t>
      </w:r>
      <w:r>
        <w:rPr>
          <w:iCs/>
          <w:i/>
        </w:rPr>
        <w:t xml:space="preserve"> </w:t>
      </w:r>
      <m:oMath>
        <m:r>
          <m:t>K</m:t>
        </m:r>
        <m:r>
          <m:rPr>
            <m:sty m:val="p"/>
          </m:rPr>
          <m:t>⊆</m:t>
        </m:r>
        <m:r>
          <m:t>P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r>
          <m:t>t</m:t>
        </m:r>
        <m:r>
          <m:rPr>
            <m:sty m:val="p"/>
          </m:rPr>
          <m:t>&lt;</m:t>
        </m:r>
        <m:r>
          <m:t>T</m:t>
        </m:r>
      </m:oMath>
      <w:r>
        <w:rPr>
          <w:iCs/>
          <w:i/>
        </w:rPr>
        <w:t xml:space="preserve">, then</w:t>
      </w:r>
      <w:r>
        <w:rPr>
          <w:iCs/>
          <w:i/>
        </w:rP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v</m:t>
        </m:r>
      </m:oMath>
      <w:r>
        <w:rPr>
          <w:iCs/>
          <w:i/>
        </w:rPr>
        <w:t xml:space="preserve">, so</w:t>
      </w:r>
      <w:r>
        <w:rPr>
          <w:iCs/>
          <w:i/>
        </w:rPr>
        <w:t xml:space="preserve"> </w:t>
      </w:r>
      <w:hyperlink w:anchor="eq:phi">
        <w:r>
          <w:rPr>
            <w:rStyle w:val="Hyperlink"/>
            <w:iCs/>
            <w:i/>
          </w:rPr>
          <w:t xml:space="preserve">[eq:phi]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gives the exact Shapley values of the hinge game.</w:t>
      </w:r>
    </w:p>
    <w:bookmarkEnd w:id="32"/>
    <w:p>
      <w:pPr>
        <w:pStyle w:val="FirstParagraph"/>
      </w:pPr>
      <w:r>
        <w:t xml:space="preserve">The games are defined through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t xml:space="preserve">. By Proposition </w:t>
      </w:r>
      <w:hyperlink w:anchor="prop:B">
        <w:r>
          <w:rPr>
            <w:rStyle w:val="Hyperlink"/>
          </w:rPr>
          <w:t xml:space="preserve">3</w:t>
        </w:r>
      </w:hyperlink>
      <w:r>
        <w:t xml:space="preserve">,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is the change in the</w:t>
      </w:r>
      <w:r>
        <w:t xml:space="preserve"> </w:t>
      </w:r>
      <w:r>
        <w:t xml:space="preserve">cumulative stress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o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when the reference path satisfies the structural</w:t>
      </w:r>
      <w:r>
        <w:t xml:space="preserve"> </w:t>
      </w:r>
      <w:r>
        <w:t xml:space="preserve">equations at every entity outside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 second term of</w:t>
      </w:r>
      <w:r>
        <w:t xml:space="preserve"> </w:t>
      </w:r>
      <w:hyperlink w:anchor="eq:phi">
        <w:r>
          <w:rPr>
            <w:rStyle w:val="Hyperlink"/>
          </w:rPr>
          <w:t xml:space="preserve">[eq:phi]</w:t>
        </w:r>
      </w:hyperlink>
      <w:r>
        <w:t xml:space="preserve"> </w:t>
      </w:r>
      <w:r>
        <w:t xml:space="preserve">is the negative credit that an intermediate candidate</w:t>
      </w:r>
      <w:r>
        <w:t xml:space="preserve"> </w:t>
      </w:r>
      <w:r>
        <w:t xml:space="preserve">source receives on walks that pass through it. A walk that reaches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through a second</w:t>
      </w:r>
      <w:r>
        <w:t xml:space="preserve"> </w:t>
      </w:r>
      <w:r>
        <w:t xml:space="preserve">candidate source contributes positively to the originating source and negatively to the</w:t>
      </w:r>
      <w:r>
        <w:t xml:space="preserve"> </w:t>
      </w:r>
      <w:r>
        <w:t xml:space="preserve">intermediary. The games here let unselected entities propagate, as in</w:t>
      </w:r>
      <w:r>
        <w:t xml:space="preserve"> </w:t>
      </w:r>
      <w:hyperlink w:anchor="eq:propagate">
        <w:r>
          <w:rPr>
            <w:rStyle w:val="Hyperlink"/>
          </w:rPr>
          <w:t xml:space="preserve">[eq:propagate]</w:t>
        </w:r>
      </w:hyperlink>
      <w:r>
        <w:t xml:space="preserve">.</w:t>
      </w:r>
      <w:r>
        <w:t xml:space="preserve"> </w:t>
      </w:r>
      <w:r>
        <w:t xml:space="preserve">The Bybit Shapley values in Section </w:t>
      </w:r>
      <w:hyperlink w:anchor="subsec:h345">
        <w:r>
          <w:rPr>
            <w:rStyle w:val="Hyperlink"/>
          </w:rPr>
          <w:t xml:space="preserve">5.2</w:t>
        </w:r>
      </w:hyperlink>
      <w:r>
        <w:t xml:space="preserve"> </w:t>
      </w:r>
      <w:r>
        <w:t xml:space="preserve">use a different game, in which every</w:t>
      </w:r>
      <w:r>
        <w:t xml:space="preserve"> </w:t>
      </w:r>
      <w:r>
        <w:t xml:space="preserve">non-candidate entity is held at its pre-crisis level, so Proposition </w:t>
      </w:r>
      <w:hyperlink w:anchor="prop:C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does not</w:t>
      </w:r>
      <w:r>
        <w:t xml:space="preserve"> </w:t>
      </w:r>
      <w:r>
        <w:t xml:space="preserve">describe them. The walk representation is verified numerically on synthetic paths only</w:t>
      </w:r>
      <w:r>
        <w:t xml:space="preserve"> </w:t>
      </w:r>
      <w:r>
        <w:t xml:space="preserve">(Section </w:t>
      </w:r>
      <w:hyperlink w:anchor="subsec:analytic-checks">
        <w:r>
          <w:rPr>
            <w:rStyle w:val="Hyperlink"/>
          </w:rPr>
          <w:t xml:space="preserve">5.5</w:t>
        </w:r>
      </w:hyperlink>
      <w:r>
        <w:t xml:space="preserve">). Proposition </w:t>
      </w:r>
      <w:hyperlink w:anchor="prop:C">
        <w:r>
          <w:rPr>
            <w:rStyle w:val="Hyperlink"/>
          </w:rPr>
          <w:t xml:space="preserve">4</w:t>
        </w:r>
      </w:hyperlink>
      <w:r>
        <w:t xml:space="preserve">(d) gives the closed form of the hinge game whenever the hinge is inactive.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candidate sources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P</m:t>
            </m:r>
          </m:e>
        </m:d>
      </m:oMath>
      <w:r>
        <w:t xml:space="preserve">; value oracle</w:t>
      </w:r>
      <w:r>
        <w:t xml:space="preserve"> </w:t>
      </w:r>
      <m:oMath>
        <m:r>
          <m:t>v</m:t>
        </m:r>
        <m:r>
          <m:rPr>
            <m:sty m:val="p"/>
          </m:rPr>
          <m:t>:</m:t>
        </m:r>
        <m:sSup>
          <m:e>
            <m:r>
              <m:t>2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(a linear or hinge window propagation)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←</m:t>
        </m:r>
      </m:oMath>
      <w:r>
        <w:t xml:space="preserve"> </w:t>
      </w:r>
      <w:r>
        <w:t xml:space="preserve">oracle evaluation (one forward propagation of the window)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⊆</m:t>
            </m:r>
            <m:r>
              <m:t>P</m:t>
            </m:r>
            <m:r>
              <m:rPr>
                <m:sty m:val="p"/>
              </m:rPr>
              <m:t>\</m:t>
            </m:r>
            <m:r>
              <m:rPr>
                <m:sty m:val="p"/>
              </m:rPr>
              <m:t>{</m:t>
            </m:r>
            <m:r>
              <m:t>k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K</m:t>
                    </m:r>
                  </m:e>
                </m:d>
                <m:r>
                  <m:rPr>
                    <m:sty m:val="p"/>
                  </m:rPr>
                  <m:t>!</m:t>
                </m:r>
                <m:r>
                  <m:t> 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K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!</m:t>
                </m:r>
              </m:num>
              <m:den>
                <m:r>
                  <m:t>p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d>
          <m:dPr>
            <m:begChr m:val="("/>
            <m:endChr m:val=")"/>
            <m:sepChr m:val=""/>
            <m:grow/>
          </m:dPr>
          <m:e>
            <m:r>
              <m:t>v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∪</m:t>
                </m:r>
                <m:r>
                  <m:rPr>
                    <m:sty m:val="p"/>
                  </m:rPr>
                  <m:t>{</m:t>
                </m:r>
                <m:r>
                  <m:t>k</m:t>
                </m:r>
                <m:r>
                  <m:rPr>
                    <m:sty m:val="p"/>
                  </m:rPr>
                  <m:t>}</m:t>
                </m:r>
              </m:e>
            </m:d>
            <m:r>
              <m:rPr>
                <m:sty m:val="p"/>
              </m:rPr>
              <m:t>−</m:t>
            </m:r>
            <m:r>
              <m:t>v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</m:e>
            </m:d>
          </m:e>
        </m:d>
      </m:oMath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ϕ</m:t>
            </m:r>
          </m:e>
          <m:sub>
            <m:r>
              <m:t>k</m:t>
            </m:r>
          </m:sub>
        </m:sSub>
        <m:sSub>
          <m:e>
            <m:r>
              <m:rPr>
                <m:sty m:val="p"/>
              </m:rPr>
              <m:t>}</m:t>
            </m:r>
          </m:e>
          <m:sub>
            <m:r>
              <m:t>k</m:t>
            </m:r>
            <m:r>
              <m:rPr>
                <m:sty m:val="p"/>
              </m:rPr>
              <m:t>∈</m:t>
            </m:r>
            <m:r>
              <m:t>P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ϕ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  <m:r>
          <m:rPr>
            <m:sty m:val="p"/>
          </m:rPr>
          <m:t>−</m:t>
        </m:r>
        <m:r>
          <m:t>v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∅</m:t>
            </m:r>
          </m:e>
        </m:d>
      </m:oMath>
    </w:p>
    <w:p>
      <w:pPr>
        <w:pStyle w:val="BodyText"/>
      </w:pPr>
      <w:r>
        <w:t xml:space="preserve">Shapley’s definition averages marginal contributions over the</w:t>
      </w:r>
      <w:r>
        <w:t xml:space="preserve"> </w:t>
      </w:r>
      <m:oMath>
        <m:r>
          <m:t>p</m:t>
        </m:r>
        <m:r>
          <m:rPr>
            <m:sty m:val="p"/>
          </m:rPr>
          <m:t>!</m:t>
        </m:r>
      </m:oMath>
      <w:r>
        <w:t xml:space="preserve"> </w:t>
      </w:r>
      <w:r>
        <w:t xml:space="preserve">orderings of the players</w:t>
      </w:r>
      <w:r>
        <w:t xml:space="preserve"> </w:t>
      </w:r>
      <w:r>
        <w:t xml:space="preserve">(Shapley 1953)</w:t>
      </w:r>
      <w:r>
        <w:t xml:space="preserve">. Algorithm </w:t>
      </w:r>
      <w:hyperlink w:anchor="alg:shapley">
        <w:r>
          <w:rPr>
            <w:rStyle w:val="Hyperlink"/>
          </w:rPr>
          <w:t xml:space="preserve">[alg:shapley]</w:t>
        </w:r>
      </w:hyperlink>
      <w:r>
        <w:t xml:space="preserve"> </w:t>
      </w:r>
      <w:r>
        <w:t xml:space="preserve">evaluates the game once on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subsets and weights the marginals by the number of orderings that place each coalition first. It is exact and uses no sampling. The number of oracle</w:t>
      </w:r>
      <w:r>
        <w:t xml:space="preserve"> </w:t>
      </w:r>
      <w:r>
        <w:t xml:space="preserve">calls falls from</w:t>
      </w:r>
      <w:r>
        <w:t xml:space="preserve"> </w:t>
      </w:r>
      <m:oMath>
        <m:r>
          <m:t>p</m:t>
        </m:r>
        <m:r>
          <m:rPr>
            <m:sty m:val="p"/>
          </m:rPr>
          <m:t>!</m:t>
        </m:r>
        <m:r>
          <m:t> </m:t>
        </m:r>
        <m:r>
          <m:t>p</m:t>
        </m:r>
      </m:oMath>
      <w:r>
        <w:t xml:space="preserve"> </w:t>
      </w:r>
      <w:r>
        <w:t xml:space="preserve">for permutation enumeration to</w:t>
      </w:r>
      <w:r>
        <w:t xml:space="preserve"> </w:t>
      </w:r>
      <m:oMath>
        <m:sSup>
          <m:e>
            <m:r>
              <m:t>2</m:t>
            </m:r>
          </m:e>
          <m:sup>
            <m:r>
              <m:t>p</m:t>
            </m:r>
          </m:sup>
        </m:sSup>
      </m:oMath>
      <w:r>
        <w:t xml:space="preserve">. Each call costs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d>
              <m:dPr>
                <m:begChr m:val="("/>
                <m:endChr m:val=")"/>
                <m:sepChr m:val=""/>
                <m:grow/>
              </m:dPr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V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E</m:t>
                    </m:r>
                  </m:e>
                </m:d>
              </m:e>
            </m:d>
          </m:e>
        </m:d>
      </m:oMath>
      <w:r>
        <w:t xml:space="preserve"> </w:t>
      </w:r>
      <w:r>
        <w:t xml:space="preserve">by forward propagation. 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the saving is</w:t>
      </w:r>
      <w:r>
        <w:t xml:space="preserve"> </w:t>
      </w:r>
      <m:oMath>
        <m:r>
          <m:t>8</m:t>
        </m:r>
        <m:r>
          <m:rPr>
            <m:sty m:val="p"/>
          </m:rPr>
          <m:t>,</m:t>
        </m:r>
        <m:r>
          <m:t>192</m:t>
        </m:r>
      </m:oMath>
      <w:r>
        <w:t xml:space="preserve"> </w:t>
      </w:r>
      <w:r>
        <w:t xml:space="preserve">calls against</w:t>
      </w:r>
      <w:r>
        <w:t xml:space="preserve"> </w:t>
      </w:r>
      <m:oMath>
        <m:r>
          <m:t>80</m:t>
        </m:r>
        <m:r>
          <m:rPr>
            <m:sty m:val="p"/>
          </m:rPr>
          <m:t>,</m:t>
        </m:r>
        <m:r>
          <m:t>951</m:t>
        </m:r>
        <m:r>
          <m:rPr>
            <m:sty m:val="p"/>
          </m:rPr>
          <m:t>,</m:t>
        </m:r>
        <m:r>
          <m:t>270</m:t>
        </m:r>
        <m:r>
          <m:rPr>
            <m:sty m:val="p"/>
          </m:rPr>
          <m:t>,</m:t>
        </m:r>
        <m:r>
          <m:t>400</m:t>
        </m:r>
      </m:oMath>
      <w:r>
        <w:t xml:space="preserve"> </w:t>
      </w:r>
      <w:r>
        <w:t xml:space="preserve">permutation</w:t>
      </w:r>
      <w:r>
        <w:t xml:space="preserve"> </w:t>
      </w:r>
      <w:r>
        <w:t xml:space="preserve">evaluations, which is the comparison used in Section </w:t>
      </w:r>
      <w:hyperlink w:anchor="subsec:analytic-checks">
        <w:r>
          <w:rPr>
            <w:rStyle w:val="Hyperlink"/>
          </w:rPr>
          <w:t xml:space="preserve">5.5</w:t>
        </w:r>
      </w:hyperlink>
      <w:r>
        <w:t xml:space="preserve">.</w:t>
      </w:r>
    </w:p>
    <w:bookmarkEnd w:id="33"/>
    <w:bookmarkStart w:id="34" w:name="subsec:design"/>
    <w:p>
      <w:pPr>
        <w:pStyle w:val="Heading2"/>
      </w:pPr>
      <w:r>
        <w:t xml:space="preserve">Validation design, sensitivity and baselines</w:t>
      </w:r>
    </w:p>
    <w:p>
      <w:pPr>
        <w:pStyle w:val="FirstParagraph"/>
      </w:pPr>
      <w:r>
        <w:t xml:space="preserve">To test A3 we construct three variants of</w:t>
      </w:r>
      <w:r>
        <w:t xml:space="preserve"> </w:t>
      </w:r>
      <m:oMath>
        <m:r>
          <m:t>G</m:t>
        </m:r>
      </m:oMath>
      <w:r>
        <w:t xml:space="preserve">: the true-direction graph, a reversed graph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</m:sup>
        </m:sSup>
      </m:oMath>
      <w:r>
        <w:t xml:space="preserve">, and a symmetric graph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p>
        </m:sSup>
      </m:oMath>
      <w:r>
        <w:t xml:space="preserve">. Each is fitted on the</w:t>
      </w:r>
      <w:r>
        <w:t xml:space="preserve"> </w:t>
      </w:r>
      <w:r>
        <w:t xml:space="preserve">estimation window and compared on one-step-ahead prediction of event-window stress by the</w:t>
      </w:r>
      <w:r>
        <w:t xml:space="preserve"> </w:t>
      </w:r>
      <w:r>
        <w:t xml:space="preserve">stress-weighted root-mean-square error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sub>
                </m:sSub>
              </m:e>
            </m:nary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S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sub>
                </m:sSub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</m:e>
        </m:d>
        <m:r>
          <m:rPr>
            <m:sty m:val="p"/>
          </m:rPr>
          <m:t>+</m:t>
        </m:r>
        <m:r>
          <m:t>0.1</m:t>
        </m:r>
      </m:oMath>
      <w:r>
        <w:t xml:space="preserve">. Because A2 is not directly testable, we report the robustness</w:t>
      </w:r>
      <w:r>
        <w:t xml:space="preserve"> </w:t>
      </w:r>
      <w:r>
        <w:t xml:space="preserve">value of</w:t>
      </w:r>
      <w:r>
        <w:t xml:space="preserve"> </w:t>
      </w:r>
      <w:r>
        <w:t xml:space="preserve">Cinelli and Hazlett (2020)</w:t>
      </w:r>
      <w:r>
        <w:t xml:space="preserve">. For a coefficient with</w:t>
      </w:r>
      <w:r>
        <w:t xml:space="preserve"> </w:t>
      </w:r>
      <m:oMath>
        <m:r>
          <m:t>t</m:t>
        </m:r>
      </m:oMath>
      <w:r>
        <w:t xml:space="preserve">-statistic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degrees of freedom 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d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V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ad>
                <m:radPr>
                  <m:degHide m:val="on"/>
                </m:radPr>
                <m:deg/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−</m:t>
              </m:r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is the share of residual variance a confounder must explain in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the parent and</w:t>
      </w:r>
      <w:r>
        <w:t xml:space="preserve"> </w:t>
      </w:r>
      <w:r>
        <w:t xml:space="preserve">the child to drive the coefficient to zero. Baselines are</w:t>
      </w:r>
      <w:r>
        <w:t xml:space="preserve"> </w:t>
      </w:r>
      <m:oMath>
        <m:r>
          <m:t>Δ</m:t>
        </m:r>
      </m:oMath>
      <w:r>
        <w:t xml:space="preserve">CoVaR</w:t>
      </w:r>
      <w:r>
        <w:t xml:space="preserve"> </w:t>
      </w:r>
      <w:r>
        <w:t xml:space="preserve">(Adrian and Brunnermeier 2016)</w:t>
      </w:r>
      <w:r>
        <w:t xml:space="preserve">, MES</w:t>
      </w:r>
      <w:r>
        <w:t xml:space="preserve"> </w:t>
      </w:r>
      <w:r>
        <w:t xml:space="preserve">(Acharya et al. 2017)</w:t>
      </w:r>
      <w:r>
        <w:t xml:space="preserve">,</w:t>
      </w:r>
      <w:r>
        <w:t xml:space="preserve"> </w:t>
      </w:r>
      <w:r>
        <w:t xml:space="preserve">and, for H1, Granger and partial-correlation graphs</w:t>
      </w:r>
      <w:r>
        <w:t xml:space="preserve"> </w:t>
      </w:r>
      <w:r>
        <w:t xml:space="preserve">(Granger 1969; Giudici and Parisi 2018)</w:t>
      </w:r>
      <w:r>
        <w:t xml:space="preserve"> </w:t>
      </w:r>
      <w:r>
        <w:t xml:space="preserve">fed through the same VEIN machinery.</w:t>
      </w:r>
    </w:p>
    <w:bookmarkEnd w:id="34"/>
    <w:bookmarkEnd w:id="35"/>
    <w:bookmarkStart w:id="44" w:name="sec:data"/>
    <w:p>
      <w:pPr>
        <w:pStyle w:val="Heading1"/>
      </w:pPr>
      <w:r>
        <w:t xml:space="preserve">Data and Entity Resolution</w:t>
      </w:r>
    </w:p>
    <w:bookmarkStart w:id="42" w:name="subsec:data"/>
    <w:p>
      <w:pPr>
        <w:pStyle w:val="Heading2"/>
      </w:pPr>
      <w:r>
        <w:t xml:space="preserve">Data, entity universe and stress states</w:t>
      </w:r>
    </w:p>
    <w:p>
      <w:pPr>
        <w:pStyle w:val="FirstParagraph"/>
      </w:pPr>
      <w:r>
        <w:t xml:space="preserve">The analysis uses public data only. Flows come from SQL over Dune Analytics’ decoded</w:t>
      </w:r>
      <w:r>
        <w:t xml:space="preserve"> </w:t>
      </w:r>
      <w:r>
        <w:rPr>
          <w:rStyle w:val="VerbatimChar"/>
        </w:rPr>
        <w:t xml:space="preserve">erc20_ethereum.evt_Transfer</w:t>
      </w:r>
      <w:r>
        <w:t xml:space="preserve"> </w:t>
      </w:r>
      <w:r>
        <w:t xml:space="preserve">table joined to the</w:t>
      </w:r>
      <w:r>
        <w:t xml:space="preserve"> </w:t>
      </w:r>
      <w:r>
        <w:rPr>
          <w:rStyle w:val="VerbatimChar"/>
        </w:rPr>
        <w:t xml:space="preserve">labels.cex_ethereum</w:t>
      </w:r>
      <w:r>
        <w:t xml:space="preserve"> </w:t>
      </w:r>
      <w:r>
        <w:t xml:space="preserve">labels, prices and protocol total-value-locked (TVL) series from DefiLlama, and contract</w:t>
      </w:r>
      <w:r>
        <w:t xml:space="preserve"> </w:t>
      </w:r>
      <w:r>
        <w:t xml:space="preserve">metadata from Etherscan. The cascade is visible in the raw transfers: on-chain volume of</w:t>
      </w:r>
      <w:r>
        <w:t xml:space="preserve"> </w:t>
      </w:r>
      <w:r>
        <w:t xml:space="preserve">the synthetic dollar USDe rises from $0.74bn on 9 October to $3.09bn on 10 October and</w:t>
      </w:r>
      <w:r>
        <w:t xml:space="preserve"> </w:t>
      </w:r>
      <w:r>
        <w:t xml:space="preserve">$8.83bn on 11 October (Figure </w:t>
      </w:r>
      <w:hyperlink w:anchor="fig:usde">
        <w:r>
          <w:rPr>
            <w:rStyle w:val="Hyperlink"/>
          </w:rPr>
          <w:t xml:space="preserve">1</w:t>
        </w:r>
      </w:hyperlink>
      <w:r>
        <w:t xml:space="preserve">, left). The node set comprises centralised</w:t>
      </w:r>
      <w:r>
        <w:t xml:space="preserve"> </w:t>
      </w:r>
      <w:r>
        <w:t xml:space="preserve">exchanges (Binance, Coinbase, OKX, Bybit, Bitfinex, HTX, Gate.io, Crypto.com, Bitget,</w:t>
      </w:r>
      <w:r>
        <w:t xml:space="preserve"> </w:t>
      </w:r>
      <w:r>
        <w:t xml:space="preserve">Bullish), custodians (Copper, Ceffu, FalconX), DeFi protocols (Aave, Ethena, Lido,</w:t>
      </w:r>
      <w:r>
        <w:t xml:space="preserve"> </w:t>
      </w:r>
      <w:r>
        <w:t xml:space="preserve">Maker/Sky), and an aggregate retail node that collects all unresolved addresses.</w:t>
      </w:r>
      <w:r>
        <w:t xml:space="preserve"> </w:t>
      </w:r>
      <w:r>
        <w:t xml:space="preserve">Stress is operationalised by entity type and expressed as rolling</w:t>
      </w:r>
      <w:r>
        <w:t xml:space="preserve"> </w:t>
      </w:r>
      <m:oMath>
        <m:r>
          <m:t>z</m:t>
        </m:r>
      </m:oMath>
      <w:r>
        <w:t xml:space="preserve">-scores: CEX and</w:t>
      </w:r>
      <w:r>
        <w:t xml:space="preserve"> </w:t>
      </w:r>
      <w:r>
        <w:t xml:space="preserve">custodian stress combines the net on-chain outflow ratio with a transfer-volume surge;</w:t>
      </w:r>
      <w:r>
        <w:t xml:space="preserve"> </w:t>
      </w:r>
      <w:r>
        <w:t xml:space="preserve">stablecoin-issuer stress combines the peg deviation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with net redemption outflow;</w:t>
      </w:r>
      <w:r>
        <w:t xml:space="preserve"> </w:t>
      </w:r>
      <w:r>
        <w:t xml:space="preserve">lending and liquid-staking stress combine TVL and price drawdowns; and retail stress is the</w:t>
      </w:r>
      <w:r>
        <w:t xml:space="preserve"> </w:t>
      </w:r>
      <w:r>
        <w:t xml:space="preserve">market (ETH) drawdown. The settlement network is dominated by exchange–retail volume (Coinbase receives $43.5bn from retail and sends $43.4bn back); the smaller direct exchange-to-exchange transfers are recovered, and the SCM propagates along them (Figure </w:t>
      </w:r>
      <w:hyperlink w:anchor="fig:usde">
        <w:r>
          <w:rPr>
            <w:rStyle w:val="Hyperlink"/>
          </w:rPr>
          <w:t xml:space="preserve">1</w:t>
        </w:r>
      </w:hyperlink>
      <w:r>
        <w:t xml:space="preserve">, right).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667000" cy="148472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fig_usde_spike.pdf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84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2667000" cy="141993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fig_stress.pdf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19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Left: on-chain USDe transfer volume around the October 2025 cascade (decoded ERC-20</w:t>
      </w:r>
      <w:r>
        <w:t xml:space="preserve"> </w:t>
      </w:r>
      <w:r>
        <w:t xml:space="preserve">transfers via Dune). Right: hourly entity stress states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(shaded: the 10–11 October</w:t>
      </w:r>
      <w:r>
        <w:t xml:space="preserve"> </w:t>
      </w:r>
      <w:r>
        <w:t xml:space="preserve">event window).</w:t>
      </w:r>
    </w:p>
    <w:bookmarkEnd w:id="42"/>
    <w:bookmarkStart w:id="43" w:name="subsec:resolution"/>
    <w:p>
      <w:pPr>
        <w:pStyle w:val="Heading2"/>
      </w:pPr>
      <w:r>
        <w:t xml:space="preserve">Entity resolution</w:t>
      </w:r>
    </w:p>
    <w:p>
      <w:pPr>
        <w:pStyle w:val="FirstParagraph"/>
      </w:pPr>
      <w:r>
        <w:t xml:space="preserve">A clustering error directly corrupts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a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, since a mistake fabricates or severs a causal edge. We</w:t>
      </w:r>
      <w:r>
        <w:t xml:space="preserve"> </w:t>
      </w:r>
      <w:r>
        <w:t xml:space="preserve">therefore use four tiers, building on</w:t>
      </w:r>
      <w:r>
        <w:t xml:space="preserve"> </w:t>
      </w:r>
      <w:r>
        <w:t xml:space="preserve">Meiklejohn et al. (2013)</w:t>
      </w:r>
      <w:r>
        <w:t xml:space="preserve"> </w:t>
      </w:r>
      <w:r>
        <w:t xml:space="preserve">and</w:t>
      </w:r>
      <w:r>
        <w:t xml:space="preserve"> </w:t>
      </w:r>
      <w:r>
        <w:t xml:space="preserve">Weber et al. (2019)</w:t>
      </w:r>
      <w:r>
        <w:t xml:space="preserve">.</w:t>
      </w:r>
      <w:r>
        <w:t xml:space="preserve"> </w:t>
      </w:r>
      <w:r>
        <w:t xml:space="preserve">Tier 0 is the deposit-sweep heuristic (at least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of an address’s outflow goes to an exchange</w:t>
      </w:r>
      <w:r>
        <w:t xml:space="preserve"> </w:t>
      </w:r>
      <w:r>
        <w:t xml:space="preserve">hot wallet). Tiers 1 and 2 are a gradient-boosted classifier and a truncated-SVD embedding. Tier 3,</w:t>
      </w:r>
      <w:r>
        <w:t xml:space="preserve"> </w:t>
      </w:r>
      <w:r>
        <w:t xml:space="preserve">the primary path, matches both transfer endpoints to curated seed labels and Dune’s</w:t>
      </w:r>
      <w:r>
        <w:t xml:space="preserve"> </w:t>
      </w:r>
      <w:r>
        <w:rPr>
          <w:rStyle w:val="VerbatimChar"/>
        </w:rPr>
        <w:t xml:space="preserve">labels.cex_ethereum</w:t>
      </w:r>
      <w:r>
        <w:t xml:space="preserve">, collapsing sub-wallets to their exchange root. Each edge inherits the</w:t>
      </w:r>
      <w:r>
        <w:t xml:space="preserve"> </w:t>
      </w:r>
      <w:r>
        <w:t xml:space="preserve">minimum confidence of its endpoints. The mint/burn sentinel is dropped first because its volume would</w:t>
      </w:r>
      <w:r>
        <w:t xml:space="preserve"> </w:t>
      </w:r>
      <w:r>
        <w:t xml:space="preserve">dominate every volume-weighted statistic. Tiers 1–2 are validated in Appendix </w:t>
      </w:r>
      <w:hyperlink w:anchor="app:resolution">
        <w:r>
          <w:rPr>
            <w:rStyle w:val="Hyperlink"/>
          </w:rPr>
          <w:t xml:space="preserve">8</w:t>
        </w:r>
      </w:hyperlink>
      <w:r>
        <w:t xml:space="preserve">, and</w:t>
      </w:r>
      <w:r>
        <w:t xml:space="preserve"> </w:t>
      </w:r>
      <w:r>
        <w:t xml:space="preserve">their address-count metrics overstate economic recall, so Tier 3 remains the resolver.</w:t>
      </w:r>
    </w:p>
    <w:bookmarkEnd w:id="43"/>
    <w:bookmarkEnd w:id="44"/>
    <w:bookmarkStart w:id="69" w:name="sec:results"/>
    <w:p>
      <w:pPr>
        <w:pStyle w:val="Heading1"/>
      </w:pPr>
      <w:r>
        <w:t xml:space="preserve">Empirical Evaluation</w:t>
      </w:r>
    </w:p>
    <w:p>
      <w:pPr>
        <w:pStyle w:val="FirstParagraph"/>
      </w:pPr>
      <w:r>
        <w:t xml:space="preserve">Table </w:t>
      </w:r>
      <w:hyperlink w:anchor="tab:hyp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lists the hypotheses. Unless noted, results are at hourly resolution</w:t>
      </w:r>
      <w:r>
        <w:t xml:space="preserve"> </w:t>
      </w:r>
      <w:r>
        <w:t xml:space="preserve">(the consolidated run: 600 fitting hours, 48 event hours, 17 entities, 39 directed edges;</w:t>
      </w:r>
      <w:r>
        <w:t xml:space="preserve"> </w:t>
      </w:r>
      <w:r>
        <w:t xml:space="preserve">Figure </w:t>
      </w:r>
      <w:hyperlink w:anchor="fig:graph">
        <w:r>
          <w:rPr>
            <w:rStyle w:val="Hyperlink"/>
          </w:rPr>
          <w:t xml:space="preserve">2</w:t>
        </w:r>
      </w:hyperlink>
      <w:r>
        <w:t xml:space="preserve">). The daily specification is reported where it differs; backtests of the return-based inputs are in Appendix </w:t>
      </w:r>
      <w:hyperlink w:anchor="app:impl">
        <w:r>
          <w:rPr>
            <w:rStyle w:val="Hyperlink"/>
          </w:rPr>
          <w:t xml:space="preserve">7</w:t>
        </w:r>
      </w:hyperlink>
      <w:r>
        <w:t xml:space="preserve">. It is the only</w:t>
      </w:r>
      <w:r>
        <w:t xml:space="preserve"> </w:t>
      </w:r>
      <w:r>
        <w:t xml:space="preserve">specification whose coefficients are archived, so the analytic checks in</w:t>
      </w:r>
      <w:r>
        <w:t xml:space="preserve"> </w:t>
      </w:r>
      <w:r>
        <w:t xml:space="preserve">Section </w:t>
      </w:r>
      <w:hyperlink w:anchor="subsec:analytic-checks">
        <w:r>
          <w:rPr>
            <w:rStyle w:val="Hyperlink"/>
          </w:rPr>
          <w:t xml:space="preserve">5.5</w:t>
        </w:r>
      </w:hyperlink>
      <w:r>
        <w:t xml:space="preserve"> </w:t>
      </w:r>
      <w:r>
        <w:t xml:space="preserve">refer to it.</w:t>
      </w:r>
    </w:p>
    <w:bookmarkStart w:id="45" w:name="tab:hyp"/>
    <w:p>
      <w:pPr>
        <w:pStyle w:val="TableCaption"/>
      </w:pPr>
      <w:r>
        <w:t xml:space="preserve">Hypotheses evaluated in this paper.</w:t>
      </w:r>
    </w:p>
    <w:tbl>
      <w:tblPr>
        <w:tblStyle w:val="Table"/>
        <w:tblW w:type="pct" w:w="4600"/>
        <w:tblLook w:firstRow="1" w:lastRow="0" w:firstColumn="0" w:lastColumn="0" w:noHBand="0" w:noVBand="0" w:val="0020"/>
        <w:jc w:val="start"/>
        <w:tblCaption w:val="Hypotheses evaluated in this paper."/>
      </w:tblPr>
      <w:tblGrid>
        <w:gridCol w:w="475"/>
        <w:gridCol w:w="4910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observed on-chain flow graph predicts stress propagation more accurately than a graph estimated from price returns.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established (Section </w:t>
            </w:r>
            <w:hyperlink w:anchor="subsec:h1">
              <w:r>
                <w:rPr>
                  <w:rStyle w:val="Hyperlink"/>
                </w:rPr>
                <w:t xml:space="preserve">5.1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direction carries predictive information (A3): reversing edges degrades prediction in directional events and is near-neutral in custodial settlement.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Partial, exploratory (Section </w:t>
            </w:r>
            <w:hyperlink w:anchor="subsec:h2valid">
              <w:r>
                <w:rPr>
                  <w:rStyle w:val="Hyperlink"/>
                </w:rPr>
                <w:t xml:space="preserve">5.3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OC-CoVaR identifies a different set of systemically important entities than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CoVaR applied to returns.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Partial, six entities (Section </w:t>
            </w:r>
            <w:hyperlink w:anchor="subsec:h345">
              <w:r>
                <w:rPr>
                  <w:rStyle w:val="Hyperlink"/>
                </w:rPr>
                <w:t xml:space="preserve">5.2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counterfactual measure decomposes realised losses into interpretable upstream channels.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Supported, descriptive (Section </w:t>
            </w:r>
            <w:hyperlink w:anchor="subsec:h345">
              <w:r>
                <w:rPr>
                  <w:rStyle w:val="Hyperlink"/>
                </w:rPr>
                <w:t xml:space="preserve">5.2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On-chain composability and collateral edges add loss-attribution information beyond price correlation.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established (Section </w:t>
            </w:r>
            <w:hyperlink w:anchor="subsec:h2valid">
              <w:r>
                <w:rPr>
                  <w:rStyle w:val="Hyperlink"/>
                </w:rPr>
                <w:t xml:space="preserve">5.3</w:t>
              </w:r>
            </w:hyperlink>
            <w:r>
              <w:t xml:space="preserve">)</w:t>
            </w:r>
          </w:p>
        </w:tc>
      </w:tr>
    </w:tbl>
    <w:bookmarkEnd w:id="45"/>
    <w:p>
      <w:pPr>
        <w:pStyle w:val="BodyText"/>
      </w:pPr>
      <w:r>
        <w:t xml:space="preserve">H2 was first framed as two claims, one for custodial and one for directional events. The</w:t>
      </w:r>
      <w:r>
        <w:t xml:space="preserve"> </w:t>
      </w:r>
      <w:r>
        <w:t xml:space="preserve">event- and edge-type-conditional reading of H2 emerged from the analysis and should be read</w:t>
      </w:r>
      <w:r>
        <w:t xml:space="preserve"> </w:t>
      </w:r>
      <w:r>
        <w:t xml:space="preserve">as exploratory. H5 was not tested directly: the evidence bearing on it is the daily Ethena</w:t>
      </w:r>
      <m:oMath>
        <m:r>
          <m:rPr>
            <m:sty m:val="p"/>
          </m:rPr>
          <m:t>→</m:t>
        </m:r>
      </m:oMath>
      <w:r>
        <w:t xml:space="preserve">Aave</w:t>
      </w:r>
      <w:r>
        <w:t xml:space="preserve"> </w:t>
      </w:r>
      <w:r>
        <w:t xml:space="preserve">channel and the edge-type split in Section </w:t>
      </w:r>
      <w:hyperlink w:anchor="subsec:h2valid">
        <w:r>
          <w:rPr>
            <w:rStyle w:val="Hyperlink"/>
          </w:rPr>
          <w:t xml:space="preserve">5.3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395864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_graph.pdf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8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entity-resolved on-chain flow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recovered by the Tier-3 layer. Edge</w:t>
      </w:r>
      <w:r>
        <w:t xml:space="preserve"> </w:t>
      </w:r>
      <w:r>
        <w:t xml:space="preserve">width is proportional to cumulative USD flow.</w:t>
      </w:r>
    </w:p>
    <w:bookmarkStart w:id="50" w:name="subsec:h1"/>
    <w:p>
      <w:pPr>
        <w:pStyle w:val="Heading2"/>
      </w:pPr>
      <w:r>
        <w:t xml:space="preserve">Observed graph versus estimated graph (H1)</w:t>
      </w:r>
    </w:p>
    <w:p>
      <w:pPr>
        <w:pStyle w:val="FirstParagraph"/>
      </w:pPr>
      <w:r>
        <w:t xml:space="preserve">The graph is built from pre-event flows only.</w:t>
      </w:r>
      <w:r>
        <w:t xml:space="preserve"> </w:t>
      </w:r>
      <w:r>
        <w:t xml:space="preserve">At daily resolution the price-estimated Granger graph predicts better (RMSE 1.35 against</w:t>
      </w:r>
      <w:r>
        <w:t xml:space="preserve"> </w:t>
      </w:r>
      <w:r>
        <w:t xml:space="preserve">1.92 over 42 predictions): with seven daily observations per entity, the denser estimated</w:t>
      </w:r>
      <w:r>
        <w:t xml:space="preserve"> </w:t>
      </w:r>
      <w:r>
        <w:t xml:space="preserve">graph wins. At hourly resolution the ordering reverses. The observed graph attains RMSE</w:t>
      </w:r>
      <w:r>
        <w:t xml:space="preserve"> </w:t>
      </w:r>
      <w:r>
        <w:t xml:space="preserve">1.2529, against 1.2568 for the Granger graph and 1.2547 for the partial-correlation graph,</w:t>
      </w:r>
      <w:r>
        <w:t xml:space="preserve"> </w:t>
      </w:r>
      <w:r>
        <w:t xml:space="preserve">a margin of about</w:t>
      </w:r>
      <w:r>
        <w:t xml:space="preserve"> </w:t>
      </w:r>
      <m:oMath>
        <m:r>
          <m:t>0.1</m:t>
        </m:r>
        <m:r>
          <m:rPr>
            <m:sty m:val="p"/>
          </m:rPr>
          <m:t>%</m:t>
        </m:r>
      </m:oMath>
      <w:r>
        <w:t xml:space="preserve">. A paired bootstrap over the 288 predictions (2,000 i.i.d. resamples of the prediction-level</w:t>
      </w:r>
      <w:r>
        <w:t xml:space="preserve"> </w:t>
      </w:r>
      <w:r>
        <w:t xml:space="preserve">weighted errors, which ignores serial dependence and so likely understates uncertainty) gives an</w:t>
      </w:r>
      <w:r>
        <w:t xml:space="preserve"> </w:t>
      </w:r>
      <w:r>
        <w:t xml:space="preserve">observed-minus-Granger advantage in mean weighted error of</w:t>
      </w:r>
      <w:r>
        <w:t xml:space="preserve"> </w:t>
      </w:r>
      <m:oMath>
        <m:r>
          <m:t>0.003</m:t>
        </m:r>
      </m:oMath>
      <w:r>
        <w:t xml:space="preserve"> </w:t>
      </w:r>
      <w:r>
        <w:t xml:space="preserve">with 95% interval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0.012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t>0.016</m:t>
            </m:r>
          </m:e>
        </m:d>
      </m:oMath>
      <w:r>
        <w:t xml:space="preserve">, which includes zero,</w:t>
      </w:r>
      <w:r>
        <w:t xml:space="preserve"> </w:t>
      </w:r>
      <w:r>
        <w:t xml:space="preserve">and the observed graph is better in</w:t>
      </w:r>
      <w:r>
        <w:t xml:space="preserve"> </w:t>
      </w:r>
      <m:oMath>
        <m:r>
          <m:t>71</m:t>
        </m:r>
        <m:r>
          <m:rPr>
            <m:sty m:val="p"/>
          </m:rPr>
          <m:t>%</m:t>
        </m:r>
      </m:oMath>
      <w:r>
        <w:t xml:space="preserve"> </w:t>
      </w:r>
      <w:r>
        <w:t xml:space="preserve">of resamples. With strictly lagged flows the comparison is essentially unchanged (</w:t>
      </w:r>
      <m:oMath>
        <m:r>
          <m:t>1.258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1.247</m:t>
        </m:r>
      </m:oMath>
      <w:r>
        <w:t xml:space="preserve">). On a leakage-free target built from price, peg and TVL drawdowns, the Granger graph</w:t>
      </w:r>
      <w:r>
        <w:t xml:space="preserve"> </w:t>
      </w:r>
      <w:r>
        <w:t xml:space="preserve">is better (</w:t>
      </w:r>
      <m:oMath>
        <m:r>
          <m:t>1.36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1.68</m:t>
        </m:r>
      </m:oMath>
      <w:r>
        <w:t xml:space="preserve">), which is expected for a target matched to a price-derived</w:t>
      </w:r>
      <w:r>
        <w:t xml:space="preserve"> </w:t>
      </w:r>
      <w:r>
        <w:t xml:space="preserve">graph. We therefore treat H1 as suggestive, and the paper’s main contribution does not rest</w:t>
      </w:r>
      <w:r>
        <w:t xml:space="preserve"> </w:t>
      </w:r>
      <w:r>
        <w:t xml:space="preserve">on it.</w:t>
      </w:r>
    </w:p>
    <w:bookmarkStart w:id="49" w:name="tab:h1"/>
    <w:p>
      <w:pPr>
        <w:pStyle w:val="TableCaption"/>
      </w:pPr>
      <w:r>
        <w:t xml:space="preserve">H1 head-to-head: event-window prediction error (RMSE; lower is better),</w:t>
      </w:r>
      <w:r>
        <w:t xml:space="preserve"> </w:t>
      </w:r>
      <w:r>
        <w:t xml:space="preserve">identical VEIN machinery, varying only the graph source.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H1 head-to-head: event-window prediction error (RMSE; lower is better), identical VEIN machinery, varying only the graph source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Daily</w:t>
            </w:r>
            <w:r>
              <w:t xml:space="preserve"> </w:t>
            </w:r>
            <w: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42</m:t>
              </m:r>
            </m:oMath>
            <w:r>
              <w:t xml:space="preserve">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Hourly</w:t>
            </w:r>
            <w:r>
              <w:t xml:space="preserve"> </w:t>
            </w:r>
            <w: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288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(lr)</w:t>
            </w:r>
            <w:r>
              <w:t xml:space="preserve">4-5</w:t>
            </w:r>
            <w:r>
              <w:t xml:space="preserve"> </w:t>
            </w:r>
            <w:r>
              <w:rPr>
                <w:bCs/>
                <w:b/>
              </w:rPr>
              <w:t xml:space="preserve">Graph 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Observed on-chain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1.2529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(Granger)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1.2568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(partial-corr)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1.2547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0.285</w:t>
            </w:r>
          </w:p>
        </w:tc>
      </w:tr>
    </w:tbl>
    <w:bookmarkEnd w:id="49"/>
    <w:bookmarkEnd w:id="50"/>
    <w:bookmarkStart w:id="62" w:name="subsec:h345"/>
    <w:p>
      <w:pPr>
        <w:pStyle w:val="Heading2"/>
      </w:pPr>
      <w:r>
        <w:t xml:space="preserve">Systemic ranking and counterfactual attribution (H3–H5)</w:t>
      </w:r>
    </w:p>
    <w:p>
      <w:pPr>
        <w:pStyle w:val="FirstParagraph"/>
      </w:pPr>
      <w:r>
        <w:t xml:space="preserve">The hourly OC-CoVaR exported-risk ranking (Table </w:t>
      </w:r>
      <w:hyperlink w:anchor="tab:rank">
        <w:r>
          <w:rPr>
            <w:rStyle w:val="Hyperlink"/>
          </w:rPr>
          <w:t xml:space="preserve">3</w:t>
        </w:r>
      </w:hyperlink>
      <w:r>
        <w:t xml:space="preserve">, Figure </w:t>
      </w:r>
      <w:hyperlink w:anchor="fig:ocrank">
        <w:r>
          <w:rPr>
            <w:rStyle w:val="Hyperlink"/>
          </w:rPr>
          <w:t xml:space="preserve">3</w:t>
        </w:r>
      </w:hyperlink>
      <w:r>
        <w:t xml:space="preserve">) is</w:t>
      </w:r>
      <w:r>
        <w:t xml:space="preserve"> </w:t>
      </w:r>
      <w:r>
        <w:t xml:space="preserve">led by retail, Binance, Coinbase and Bitfinex. Over the six entities with a corresponding price series (retail–ETH, Binance–BNB, Ethena–ENA,</w:t>
      </w:r>
      <w:r>
        <w:t xml:space="preserve"> </w:t>
      </w:r>
      <w:r>
        <w:t xml:space="preserve">Aave–AAVE, Lido–stETH, MakerSky–DAI), the Spearman correlation between the hourly exported-risk</w:t>
      </w:r>
      <w:r>
        <w:t xml:space="preserve"> </w:t>
      </w:r>
      <w:r>
        <w:t xml:space="preserve">ranking and the</w:t>
      </w:r>
      <w:r>
        <w:t xml:space="preserve"> </w:t>
      </w:r>
      <m:oMath>
        <m:r>
          <m:t>Δ</m:t>
        </m:r>
      </m:oMath>
      <w:r>
        <w:t xml:space="preserve">CoVaR ranking from hourly returns is</w:t>
      </w:r>
      <w:r>
        <w:t xml:space="preserve"> </w:t>
      </w:r>
      <m:oMath>
        <m:r>
          <m:t>0.52</m:t>
        </m:r>
      </m:oMath>
      <w:r>
        <w:t xml:space="preserve"> </w:t>
      </w:r>
      <w:r>
        <w:t xml:space="preserve">(Table </w:t>
      </w:r>
      <w:hyperlink w:anchor="tab:rank">
        <w:r>
          <w:rPr>
            <w:rStyle w:val="Hyperlink"/>
          </w:rPr>
          <w:t xml:space="preserve">3</w:t>
        </w:r>
      </w:hyperlink>
      <w:r>
        <w:t xml:space="preserve">). With six</w:t>
      </w:r>
      <w:r>
        <w:t xml:space="preserve"> </w:t>
      </w:r>
      <w:r>
        <w:t xml:space="preserve">points this is an imprecise estimate and no significance is claimed. It indicates that the two rankings</w:t>
      </w:r>
      <w:r>
        <w:t xml:space="preserve"> </w:t>
      </w:r>
      <w:r>
        <w:t xml:space="preserve">differ, as H3 requires, but not by how much. The daily specification gives</w:t>
      </w:r>
      <w:r>
        <w:t xml:space="preserve"> </w:t>
      </w:r>
      <m:oMath>
        <m:r>
          <m:t>0.72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Δ</m:t>
        </m:r>
      </m:oMath>
      <w:r>
        <w:t xml:space="preserve">CoVaR and</w:t>
      </w:r>
      <w:r>
        <w:t xml:space="preserve"> </w:t>
      </w:r>
      <m:oMath>
        <m:r>
          <m:t>0.52</m:t>
        </m:r>
      </m:oMath>
      <w:r>
        <w:t xml:space="preserve"> </w:t>
      </w:r>
      <w:r>
        <w:t xml:space="preserve">against MES (</w:t>
      </w:r>
      <w:r>
        <w:rPr>
          <w:rStyle w:val="VerbatimChar"/>
        </w:rPr>
        <w:t xml:space="preserve">results/validation.json</w:t>
      </w:r>
      <w:r>
        <w:t xml:space="preserve">), so the figure depends on the</w:t>
      </w:r>
      <w:r>
        <w:t xml:space="preserve"> </w:t>
      </w:r>
      <w:r>
        <w:t xml:space="preserve">specification and the benchmark.</w:t>
      </w:r>
    </w:p>
    <w:p>
      <w:pPr>
        <w:pStyle w:val="BodyText"/>
      </w:pPr>
      <w:r>
        <w:t xml:space="preserve">The daily ranking differs, and this matters for interpretation. At daily resolution Lido has</w:t>
      </w:r>
      <w:r>
        <w:t xml:space="preserve"> </w:t>
      </w:r>
      <w:r>
        <w:t xml:space="preserve">the largest exported risk (4.06), although the forensic narratives document it as an absorber.</w:t>
      </w:r>
      <w:r>
        <w:t xml:space="preserve"> </w:t>
      </w:r>
      <w:r>
        <w:t xml:space="preserve">The transmitter-versus-absorber check therefore fails at daily resolution (separation</w:t>
      </w:r>
      <w:r>
        <w:t xml:space="preserve"> </w:t>
      </w:r>
      <m:oMath>
        <m:r>
          <m:rPr>
            <m:sty m:val="p"/>
          </m:rPr>
          <m:t>−</m:t>
        </m:r>
        <m:r>
          <m:t>1.97</m:t>
        </m:r>
      </m:oMath>
      <w:r>
        <w:t xml:space="preserve">, pairwise concordance</w:t>
      </w:r>
      <w:r>
        <w:t xml:space="preserve"> </w:t>
      </w:r>
      <m:oMath>
        <m:r>
          <m:t>0.50</m:t>
        </m:r>
      </m:oMath>
      <w:r>
        <w:t xml:space="preserve">) and passes at hourly resolution (separation</w:t>
      </w:r>
      <w:r>
        <w:t xml:space="preserve"> </w:t>
      </w:r>
      <m:oMath>
        <m:r>
          <m:t>12.87</m:t>
        </m:r>
      </m:oMath>
      <w:r>
        <w:t xml:space="preserve">,</w:t>
      </w:r>
      <w:r>
        <w:t xml:space="preserve"> </w:t>
      </w:r>
      <w:r>
        <w:t xml:space="preserve">concordance</w:t>
      </w:r>
      <w:r>
        <w:t xml:space="preserve"> </w:t>
      </w:r>
      <m:oMath>
        <m:r>
          <m:t>1.00</m:t>
        </m:r>
      </m:oMath>
      <w:r>
        <w:t xml:space="preserve">). External validity belongs to the hourly specification, and daily</w:t>
      </w:r>
      <w:r>
        <w:t xml:space="preserve"> </w:t>
      </w:r>
      <w:r>
        <w:t xml:space="preserve">rankings should not be used to name transmitters.</w:t>
      </w:r>
    </w:p>
    <w:p>
      <w:pPr>
        <w:pStyle w:val="BodyText"/>
      </w:pPr>
      <w:r>
        <w:t xml:space="preserve">The counterfactual decomposition (Table </w:t>
      </w:r>
      <w:hyperlink w:anchor="tab:cf">
        <w:r>
          <w:rPr>
            <w:rStyle w:val="Hyperlink"/>
          </w:rPr>
          <w:t xml:space="preserve">4</w:t>
        </w:r>
      </w:hyperlink>
      <w:r>
        <w:t xml:space="preserve">) recovers inter-exchange settlement</w:t>
      </w:r>
      <w:r>
        <w:t xml:space="preserve"> </w:t>
      </w:r>
      <w:r>
        <w:t xml:space="preserve">channels. At hourly resolution Binance</w:t>
      </w:r>
      <m:oMath>
        <m:r>
          <m:rPr>
            <m:sty m:val="p"/>
          </m:rPr>
          <m:t>→</m:t>
        </m:r>
      </m:oMath>
      <w:r>
        <w:t xml:space="preserve">Bybit accounts for</w:t>
      </w:r>
      <w:r>
        <w:t xml:space="preserve"> </w:t>
      </w:r>
      <m:oMath>
        <m:r>
          <m:t>98.1</m:t>
        </m:r>
        <m:r>
          <m:rPr>
            <m:sty m:val="p"/>
          </m:rPr>
          <m:t>%</m:t>
        </m:r>
      </m:oMath>
      <w:r>
        <w:t xml:space="preserve"> </w:t>
      </w:r>
      <w:r>
        <w:t xml:space="preserve">of Bybit’s window</w:t>
      </w:r>
      <w:r>
        <w:t xml:space="preserve"> </w:t>
      </w:r>
      <w:r>
        <w:t xml:space="preserve">distress, followed by Binance</w:t>
      </w:r>
      <m:oMath>
        <m:r>
          <m:rPr>
            <m:sty m:val="p"/>
          </m:rPr>
          <m:t>→</m:t>
        </m:r>
      </m:oMath>
      <w:r>
        <w:t xml:space="preserve">Gate.io (</w:t>
      </w:r>
      <m:oMath>
        <m:r>
          <m:t>58.4</m:t>
        </m:r>
        <m:r>
          <m:rPr>
            <m:sty m:val="p"/>
          </m:rPr>
          <m:t>%</m:t>
        </m:r>
      </m:oMath>
      <w:r>
        <w:t xml:space="preserve">) and Binance</w:t>
      </w:r>
      <m:oMath>
        <m:r>
          <m:rPr>
            <m:sty m:val="p"/>
          </m:rPr>
          <m:t>→</m:t>
        </m:r>
      </m:oMath>
      <w:r>
        <w:t xml:space="preserve">Bitfinex (</w:t>
      </w:r>
      <m:oMath>
        <m:r>
          <m:t>45.3</m:t>
        </m:r>
        <m:r>
          <m:rPr>
            <m:sty m:val="p"/>
          </m:rPr>
          <m:t>%</m:t>
        </m:r>
      </m:oMath>
      <w:r>
        <w:t xml:space="preserve">). Under</w:t>
      </w:r>
      <w:r>
        <w:t xml:space="preserve"> </w:t>
      </w:r>
      <w:r>
        <w:t xml:space="preserve">Gaussian relative perturbation of every coefficient (standard deviation</w:t>
      </w:r>
      <w:r>
        <w:t xml:space="preserve"> </w:t>
      </w:r>
      <m:oMath>
        <m:r>
          <m:t>15</m:t>
        </m:r>
        <m:r>
          <m:rPr>
            <m:sty m:val="p"/>
          </m:rPr>
          <m:t>%</m:t>
        </m:r>
      </m:oMath>
      <w:r>
        <w:t xml:space="preserve">, 40 draws), the Binance</w:t>
      </w:r>
      <m:oMath>
        <m:r>
          <m:rPr>
            <m:sty m:val="p"/>
          </m:rPr>
          <m:t>→</m:t>
        </m:r>
      </m:oMath>
      <w:r>
        <w:t xml:space="preserve">Bybit share is</w:t>
      </w:r>
      <w:r>
        <w:t xml:space="preserve"> </w:t>
      </w:r>
      <m:oMath>
        <m:r>
          <m:t>0.98</m:t>
        </m:r>
        <m:r>
          <m:rPr>
            <m:sty m:val="p"/>
          </m:rPr>
          <m:t>±</m:t>
        </m:r>
        <m:r>
          <m:t>0.01</m:t>
        </m:r>
      </m:oMath>
      <w:r>
        <w:t xml:space="preserve"> </w:t>
      </w:r>
      <w:r>
        <w:t xml:space="preserve">and stays positive in all draws. At daily resolution, where composability edges</w:t>
      </w:r>
      <w:r>
        <w:t xml:space="preserve"> </w:t>
      </w:r>
      <w:r>
        <w:t xml:space="preserve">dominate, the leading channel is Ethena</w:t>
      </w:r>
      <m:oMath>
        <m:r>
          <m:rPr>
            <m:sty m:val="p"/>
          </m:rPr>
          <m:t>→</m:t>
        </m:r>
      </m:oMath>
      <w:r>
        <w:t xml:space="preserve">Aave (</w:t>
      </w:r>
      <m:oMath>
        <m:r>
          <m:t>11.3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BodyText"/>
      </w:pPr>
      <w:r>
        <w:t xml:space="preserve">For Bybit we also compute an order-robust Shapley decomposition of the hinge game over Binance,</w:t>
      </w:r>
      <w:r>
        <w:t xml:space="preserve"> </w:t>
      </w:r>
      <w:r>
        <w:t xml:space="preserve">Coinbase and Bitfinex (Figure </w:t>
      </w:r>
      <w:hyperlink w:anchor="fig:ocrank">
        <w:r>
          <w:rPr>
            <w:rStyle w:val="Hyperlink"/>
          </w:rPr>
          <w:t xml:space="preserve">3</w:t>
        </w:r>
      </w:hyperlink>
      <w:r>
        <w:t xml:space="preserve">, right), by exhaustive enumeration of orderings.</w:t>
      </w:r>
      <w:r>
        <w:t xml:space="preserve"> </w:t>
      </w:r>
      <w:r>
        <w:t xml:space="preserve">In this game a candidate set is held at its observed stress and every other entity at its pre-crisis</w:t>
      </w:r>
      <w:r>
        <w:t xml:space="preserve"> </w:t>
      </w:r>
      <w:r>
        <w:t xml:space="preserve">level, so only direct channels into Bybit operate. The values</w:t>
      </w:r>
      <w:r>
        <w:t xml:space="preserve"> </w:t>
      </w:r>
      <w:r>
        <w:t xml:space="preserve">are Binance</w:t>
      </w:r>
      <w:r>
        <w:t xml:space="preserve"> </w:t>
      </w:r>
      <m:oMath>
        <m:r>
          <m:t>3.41</m:t>
        </m:r>
      </m:oMath>
      <w:r>
        <w:t xml:space="preserve">, Coinbase</w:t>
      </w:r>
      <w:r>
        <w:t xml:space="preserve"> </w:t>
      </w:r>
      <m:oMath>
        <m:r>
          <m:t>0.00</m:t>
        </m:r>
      </m:oMath>
      <w:r>
        <w:t xml:space="preserve"> </w:t>
      </w:r>
      <w:r>
        <w:t xml:space="preserve">and Bitfinex</w:t>
      </w:r>
      <w:r>
        <w:t xml:space="preserve"> </w:t>
      </w:r>
      <m:oMath>
        <m:r>
          <m:rPr>
            <m:sty m:val="p"/>
          </m:rPr>
          <m:t>−</m:t>
        </m:r>
        <m:r>
          <m:t>0.14</m:t>
        </m:r>
      </m:oMath>
      <w:r>
        <w:t xml:space="preserve">, which sum to the total effect</w:t>
      </w:r>
      <w:r>
        <w:t xml:space="preserve"> </w:t>
      </w:r>
      <m:oMath>
        <m:r>
          <m:t>3.28</m:t>
        </m:r>
      </m:oMath>
      <w:r>
        <w:t xml:space="preserve"> </w:t>
      </w:r>
      <w:r>
        <w:t xml:space="preserve">to within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 The negative Bitfinex value is not the intermediary credit of</w:t>
      </w:r>
      <w:r>
        <w:t xml:space="preserve"> </w:t>
      </w:r>
      <w:r>
        <w:t xml:space="preserve">Proposition </w:t>
      </w:r>
      <w:hyperlink w:anchor="prop:C">
        <w:r>
          <w:rPr>
            <w:rStyle w:val="Hyperlink"/>
          </w:rPr>
          <w:t xml:space="preserve">4</w:t>
        </w:r>
      </w:hyperlink>
      <w:r>
        <w:t xml:space="preserve">, which requires propagation through unselected entities. The hourly coefficients are</w:t>
      </w:r>
      <w:r>
        <w:t xml:space="preserve"> </w:t>
      </w:r>
      <w:r>
        <w:t xml:space="preserve">not archived, so we do not trace its source further.</w:t>
      </w:r>
    </w:p>
    <w:bookmarkStart w:id="51" w:name="tab:rank"/>
    <w:p>
      <w:pPr>
        <w:pStyle w:val="TableCaption"/>
      </w:pPr>
      <w:r>
        <w:t xml:space="preserve">Top six OC-CoVaR exported-risk entities (hourly) and</w:t>
      </w:r>
      <w:r>
        <w:t xml:space="preserve"> </w:t>
      </w:r>
      <m:oMath>
        <m:r>
          <m:t>Δ</m:t>
        </m:r>
      </m:oMath>
      <w:r>
        <w:t xml:space="preserve">CoVaR (hourly returns) for</w:t>
      </w:r>
      <w:r>
        <w:t xml:space="preserve"> </w:t>
      </w:r>
      <w:r>
        <w:t xml:space="preserve">the six mapped assets. 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0.52</m:t>
        </m:r>
      </m:oMath>
      <w:r>
        <w:t xml:space="preserve"> </w:t>
      </w:r>
      <w:r>
        <w:t xml:space="preserve">between the two rankings over the six mapped entities.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op six OC-CoVaR exported-risk entities (hourly) and \DeltaCoVaR (hourly returns) for the six mapped assets. Spearman \rho=0.52 between the two rankings over the six mapped entitie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Exported risk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</m:oMath>
            <w:r>
              <w:rPr>
                <w:bCs/>
                <w:b/>
              </w:rPr>
              <w:t xml:space="preserve">CoVaR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ETH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0.00400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24.52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AAVE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0.00395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Coinbase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BNB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0.00326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Bitfinex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11.42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stETH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0.00259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Gate.io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7.92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0.00258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Bybit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DAI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0.00078</m:t>
              </m:r>
            </m:oMath>
          </w:p>
        </w:tc>
      </w:tr>
    </w:tbl>
    <w:bookmarkEnd w:id="51"/>
    <w:bookmarkStart w:id="52" w:name="tab:cf"/>
    <w:p>
      <w:pPr>
        <w:pStyle w:val="TableCaption"/>
      </w:pPr>
      <w:r>
        <w:t xml:space="preserve">Leading counterfactual loss-attribution channels</w:t>
      </w:r>
      <w:r>
        <w:t xml:space="preserve"> </w:t>
      </w:r>
      <m:oMath>
        <m:sSubSup>
          <m:e>
            <m:r>
              <m:t>Δ</m:t>
            </m:r>
          </m:e>
          <m:sub>
            <m:r>
              <m:t>i</m:t>
            </m:r>
          </m:sub>
          <m:sup>
            <m:r>
              <m:t>C</m:t>
            </m:r>
            <m:r>
              <m:t>F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Leading counterfactual loss-attribution channels \Delta_i^{CF}(j)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</w:t>
            </w:r>
            <w:r>
              <w:rPr>
                <w:bCs/>
                <w:b/>
              </w:rPr>
              <w:t xml:space="preserve"> </w:t>
            </w:r>
            <m:oMath>
              <m:r>
                <m:t>i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share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Binance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Bybit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98.1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inter-exchange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Binance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Gate.io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58.4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inter-exchange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Binance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Bitfinex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45.3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inter-exchange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Ethena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Aave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11.3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USDe collateral composability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Binance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Aave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4.2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CEX-to-DeFi spillover</w:t>
            </w:r>
          </w:p>
        </w:tc>
      </w:tr>
    </w:tbl>
    <w:bookmarkEnd w:id="52"/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333500" cy="790476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fig_oc_ranking.pdf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7904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333500" cy="1113182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fig_h3_scatter.pdf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1131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br/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333500" cy="692679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fig_shapley.pdf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692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Top left: OC-CoVaR exported-risk ranking (hourly). Top right: rank divergence between</w:t>
      </w:r>
      <w:r>
        <w:t xml:space="preserve"> </w:t>
      </w:r>
      <w:r>
        <w:t xml:space="preserve">OC-CoVaR and</w:t>
      </w:r>
      <w:r>
        <w:t xml:space="preserve"> </w:t>
      </w:r>
      <m:oMath>
        <m:r>
          <m:t>Δ</m:t>
        </m:r>
      </m:oMath>
      <w:r>
        <w:t xml:space="preserve">CoVaR over the six mapped entities (hourly; 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0.52</m:t>
        </m:r>
      </m:oMath>
      <w:r>
        <w:t xml:space="preserve">).</w:t>
      </w:r>
      <w:r>
        <w:t xml:space="preserve"> </w:t>
      </w:r>
      <w:r>
        <w:t xml:space="preserve">Bottom: Shapley decomposition of Bybit’s event-window distress over Binance, Coinbase and</w:t>
      </w:r>
      <w:r>
        <w:t xml:space="preserve"> </w:t>
      </w:r>
      <w:r>
        <w:t xml:space="preserve">Bitfinex (candidates at observed stress, all others at pre-crisis level); the values sum to the</w:t>
      </w:r>
      <w:r>
        <w:t xml:space="preserve"> </w:t>
      </w:r>
      <w:r>
        <w:t xml:space="preserve">total effect (additive residual</w:t>
      </w:r>
      <w:r>
        <w:t xml:space="preserve"> </w:t>
      </w:r>
      <m:oMath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).</w:t>
      </w:r>
    </w:p>
    <w:bookmarkEnd w:id="62"/>
    <w:bookmarkStart w:id="64" w:name="subsec:h2valid"/>
    <w:p>
      <w:pPr>
        <w:pStyle w:val="Heading2"/>
      </w:pPr>
      <w:r>
        <w:t xml:space="preserve">Edge-reversal falsification and the validity battery (H2)</w:t>
      </w:r>
    </w:p>
    <w:p>
      <w:pPr>
        <w:pStyle w:val="FirstParagraph"/>
      </w:pPr>
      <w:r>
        <w:t xml:space="preserve">Table </w:t>
      </w:r>
      <w:hyperlink w:anchor="tab:falsif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reports one-step weighted RMSE for the three graph variants in four</w:t>
      </w:r>
      <w:r>
        <w:t xml:space="preserve"> </w:t>
      </w:r>
      <w:r>
        <w:t xml:space="preserve">settings: daily (seven event days, 119 entity-day predictions), the consolidated hourly run</w:t>
      </w:r>
      <w:r>
        <w:t xml:space="preserve"> </w:t>
      </w:r>
      <w:r>
        <w:t xml:space="preserve">(816 predictions), a second hourly run with 216 fitting hours (816 predictions), and a</w:t>
      </w:r>
      <w:r>
        <w:t xml:space="preserve"> </w:t>
      </w:r>
      <w:r>
        <w:t xml:space="preserve">non-flow stress target at hourly resolution. The symmetric graph is included because it</w:t>
      </w:r>
      <w:r>
        <w:t xml:space="preserve"> </w:t>
      </w:r>
      <w:r>
        <w:t xml:space="preserve">shows whether direction carries information beyond connectivity.</w:t>
      </w:r>
    </w:p>
    <w:bookmarkStart w:id="63" w:name="tab:falsif"/>
    <w:p>
      <w:pPr>
        <w:pStyle w:val="TableCaption"/>
      </w:pPr>
      <w:r>
        <w:t xml:space="preserve">Edge-reversal falsification (one-step weighted RMSE; lower is better). The best</w:t>
      </w:r>
      <w:r>
        <w:t xml:space="preserve"> </w:t>
      </w:r>
      <w:r>
        <w:t xml:space="preserve">graph in each column is bold.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Edge-reversal falsification (one-step weighted RMSE; lower is better). The best graph in each column is bold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Daily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Hourly (consol.)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Hourly (216 fit 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Non-flow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direction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1.663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reversed edges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1.790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0.942</w:t>
            </w:r>
          </w:p>
        </w:tc>
      </w:tr>
    </w:tbl>
    <w:bookmarkEnd w:id="63"/>
    <w:p>
      <w:pPr>
        <w:pStyle w:val="BodyText"/>
      </w:pPr>
      <w:r>
        <w:t xml:space="preserve">The result is mixed. At daily resolution the test has little</w:t>
      </w:r>
      <w:r>
        <w:t xml:space="preserve"> </w:t>
      </w:r>
      <w:r>
        <w:t xml:space="preserve">power and the reversed graph has the lowest error. In the consolidated hourly run the three</w:t>
      </w:r>
      <w:r>
        <w:t xml:space="preserve"> </w:t>
      </w:r>
      <w:r>
        <w:t xml:space="preserve">graphs lie within</w:t>
      </w:r>
      <w:r>
        <w:t xml:space="preserve"> </w:t>
      </w:r>
      <m:oMath>
        <m:r>
          <m:t>1.663</m:t>
        </m:r>
      </m:oMath>
      <w:r>
        <w:t xml:space="preserve">–</w:t>
      </w:r>
      <m:oMath>
        <m:r>
          <m:t>1.675</m:t>
        </m:r>
      </m:oMath>
      <w:r>
        <w:t xml:space="preserve">, a near-tie. In the 216-fit run they lie within</w:t>
      </w:r>
      <w:r>
        <w:t xml:space="preserve"> </w:t>
      </w:r>
      <m:oMath>
        <m:r>
          <m:t>1.790</m:t>
        </m:r>
      </m:oMath>
      <w:r>
        <w:t xml:space="preserve">–</w:t>
      </w:r>
      <m:oMath>
        <m:r>
          <m:t>1.801</m:t>
        </m:r>
      </m:oMath>
      <w:r>
        <w:t xml:space="preserve">, and reversal is again marginally best. On the non-flow target, reversal</w:t>
      </w:r>
      <w:r>
        <w:t xml:space="preserve"> </w:t>
      </w:r>
      <w:r>
        <w:t xml:space="preserve">raises the error by about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relative to the true graph (</w:t>
      </w:r>
      <m:oMath>
        <m:r>
          <m:t>1.025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1.129</m:t>
        </m:r>
      </m:oMath>
      <w:r>
        <w:t xml:space="preserve">), so</w:t>
      </w:r>
      <w:r>
        <w:t xml:space="preserve"> </w:t>
      </w:r>
      <w:r>
        <w:t xml:space="preserve">direction matters relative to reversal. However, the symmetric graph is best on that target</w:t>
      </w:r>
      <w:r>
        <w:t xml:space="preserve"> </w:t>
      </w:r>
      <w:r>
        <w:t xml:space="preserve">(</w:t>
      </w:r>
      <m:oMath>
        <m:r>
          <m:t>0.942</m:t>
        </m:r>
      </m:oMath>
      <w:r>
        <w:t xml:space="preserve">), so direction does not beat connectivity in every comparison. Splitting the</w:t>
      </w:r>
      <w:r>
        <w:t xml:space="preserve"> </w:t>
      </w:r>
      <w:r>
        <w:t xml:space="preserve">consolidated run by edge type gives the same picture: reversing the 35 custodial edges</w:t>
      </w:r>
      <w:r>
        <w:t xml:space="preserve"> </w:t>
      </w:r>
      <w:r>
        <w:t xml:space="preserve">raises the error to</w:t>
      </w:r>
      <w:r>
        <w:t xml:space="preserve"> </w:t>
      </w:r>
      <m:oMath>
        <m:r>
          <m:t>1.675</m:t>
        </m:r>
      </m:oMath>
      <w:r>
        <w:t xml:space="preserve">, while reversing the four composability edges leaves it at</w:t>
      </w:r>
      <w:r>
        <w:t xml:space="preserve"> </w:t>
      </w:r>
      <m:oMath>
        <m:r>
          <m:t>1.663</m:t>
        </m:r>
      </m:oMath>
      <w:r>
        <w:t xml:space="preserve">. The directional signal sits on custodial edges; the four composability edges are</w:t>
      </w:r>
      <w:r>
        <w:t xml:space="preserve"> </w:t>
      </w:r>
      <w:r>
        <w:t xml:space="preserve">too low-volume to register in one-step prediction.</w:t>
      </w:r>
    </w:p>
    <w:p>
      <w:pPr>
        <w:pStyle w:val="BodyText"/>
      </w:pPr>
      <w:r>
        <w:t xml:space="preserve">The validity battery addresses the remaining threats. The placebo check is an</w:t>
      </w:r>
      <w:r>
        <w:t xml:space="preserve"> </w:t>
      </w:r>
      <w:r>
        <w:t xml:space="preserve">implementation check rather than evidence: unconnected pairs have zero attribution, as</w:t>
      </w:r>
      <w:r>
        <w:t xml:space="preserve"> </w:t>
      </w:r>
      <w:r>
        <w:t xml:space="preserve">Corollary </w:t>
      </w:r>
      <w:hyperlink w:anchor="cor:zero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requires. The confounding analysis gives moderate robustness values.</w:t>
      </w:r>
      <w:r>
        <w:t xml:space="preserve"> </w:t>
      </w:r>
      <w:r>
        <w:t xml:space="preserve">The strongest edge, retail</w:t>
      </w:r>
      <m:oMath>
        <m:r>
          <m:rPr>
            <m:sty m:val="p"/>
          </m:rPr>
          <m:t>→</m:t>
        </m:r>
      </m:oMath>
      <w:r>
        <w:t xml:space="preserve">Coinbase, has</w:t>
      </w:r>
      <w:r>
        <w:t xml:space="preserve"> </w:t>
      </w:r>
      <m:oMath>
        <m:r>
          <m:t>R</m:t>
        </m:r>
        <m:r>
          <m:t>V</m:t>
        </m:r>
        <m:r>
          <m:rPr>
            <m:sty m:val="p"/>
          </m:rPr>
          <m:t>=</m:t>
        </m:r>
        <m:r>
          <m:t>0.226</m:t>
        </m:r>
      </m:oMath>
      <w:r>
        <w:t xml:space="preserve">, and Coinbase</w:t>
      </w:r>
      <m:oMath>
        <m:r>
          <m:rPr>
            <m:sty m:val="p"/>
          </m:rPr>
          <m:t>→</m:t>
        </m:r>
      </m:oMath>
      <w:r>
        <w:t xml:space="preserve">retail has</w:t>
      </w:r>
      <w:r>
        <w:t xml:space="preserve"> </w:t>
      </w:r>
      <m:oMath>
        <m:r>
          <m:t>0.175</m:t>
        </m:r>
      </m:oMath>
      <w:r>
        <w:t xml:space="preserve">.</w:t>
      </w:r>
      <w:r>
        <w:t xml:space="preserve"> </w:t>
      </w:r>
      <w:r>
        <w:t xml:space="preserve">Dropping the lowest-</w:t>
      </w:r>
      <m:oMath>
        <m:r>
          <m:t>R</m:t>
        </m:r>
        <m:r>
          <m:t>V</m:t>
        </m:r>
      </m:oMath>
      <w:r>
        <w:t xml:space="preserve"> </w:t>
      </w:r>
      <w:r>
        <w:t xml:space="preserve">edges leaves the ranking almost unchanged (Spearman</w:t>
      </w:r>
      <w:r>
        <w:t xml:space="preserve"> </w:t>
      </w:r>
      <m:oMath>
        <m:r>
          <m:t>0.94</m:t>
        </m:r>
      </m:oMath>
      <w:r>
        <w:t xml:space="preserve">, top three</w:t>
      </w:r>
      <w:r>
        <w:t xml:space="preserve"> </w:t>
      </w:r>
      <w:r>
        <w:t xml:space="preserve">identical). A latent AR(1) shock common to all entities gives Spearman</w:t>
      </w:r>
      <w:r>
        <w:t xml:space="preserve"> </w:t>
      </w:r>
      <m:oMath>
        <m:r>
          <m:t>0.84</m:t>
        </m:r>
      </m:oMath>
      <w:r>
        <w:t xml:space="preserve"> </w:t>
      </w:r>
      <w:r>
        <w:t xml:space="preserve">at moderate and</w:t>
      </w:r>
      <w:r>
        <w:t xml:space="preserve"> </w:t>
      </w:r>
      <m:oMath>
        <m:r>
          <m:t>0.81</m:t>
        </m:r>
      </m:oMath>
      <w:r>
        <w:t xml:space="preserve"> </w:t>
      </w:r>
      <w:r>
        <w:t xml:space="preserve">at strong strength, with the top three unchanged. At hourly resolution, Tier-0 and Tier-3 graphs give</w:t>
      </w:r>
      <w:r>
        <w:t xml:space="preserve"> </w:t>
      </w:r>
      <w:r>
        <w:t xml:space="preserve">Spearman</w:t>
      </w:r>
      <w:r>
        <w:t xml:space="preserve"> </w:t>
      </w:r>
      <m:oMath>
        <m:r>
          <m:t>0.81</m:t>
        </m:r>
      </m:oMath>
      <w:r>
        <w:t xml:space="preserve"> </w:t>
      </w:r>
      <w:r>
        <w:t xml:space="preserve">over six common entities (</w:t>
      </w:r>
      <m:oMath>
        <m:r>
          <m:t>p</m:t>
        </m:r>
        <m:r>
          <m:rPr>
            <m:sty m:val="p"/>
          </m:rPr>
          <m:t>=</m:t>
        </m:r>
        <m:r>
          <m:t>0.05</m:t>
        </m:r>
      </m:oMath>
      <w:r>
        <w:t xml:space="preserve">). The ranking places documented</w:t>
      </w:r>
      <w:r>
        <w:t xml:space="preserve"> </w:t>
      </w:r>
      <w:r>
        <w:t xml:space="preserve">transmitters above documented absorbers, as the forensic post-mortems do</w:t>
      </w:r>
      <w:r>
        <w:t xml:space="preserve"> </w:t>
      </w:r>
      <w:r>
        <w:t xml:space="preserve">(Ali 2025; Lim 2026)</w:t>
      </w:r>
      <w:r>
        <w:t xml:space="preserve">, and this check holds at hourly resolution only.</w:t>
      </w:r>
    </w:p>
    <w:p>
      <w:pPr>
        <w:pStyle w:val="BodyText"/>
      </w:pPr>
      <w:r>
        <w:t xml:space="preserve">Two further points bound the interpretation. The retail node absorbs every counterparty the</w:t>
      </w:r>
      <w:r>
        <w:t xml:space="preserve"> </w:t>
      </w:r>
      <w:r>
        <w:t xml:space="preserve">heuristics fail to attach to a named entity, so it is</w:t>
      </w:r>
      <w:r>
        <w:t xml:space="preserve"> </w:t>
      </w:r>
      <w:r>
        <w:t xml:space="preserve">“</w:t>
      </w:r>
      <w:r>
        <w:t xml:space="preserve">everything not yet resolved</w:t>
      </w:r>
      <w:r>
        <w:t xml:space="preserve">”</w:t>
      </w:r>
      <w:r>
        <w:t xml:space="preserve">. Removing it</w:t>
      </w:r>
      <w:r>
        <w:t xml:space="preserve"> </w:t>
      </w:r>
      <w:r>
        <w:t xml:space="preserve">leaves Binance as the top transmitter (16.0), followed by FalconX (2.4) and Ethena (2.1). Under</w:t>
      </w:r>
      <w:r>
        <w:t xml:space="preserve"> </w:t>
      </w:r>
      <w:r>
        <w:t xml:space="preserve">Gaussian relative perturbation of every coefficient (standard deviation</w:t>
      </w:r>
      <w:r>
        <w:t xml:space="preserve"> </w:t>
      </w:r>
      <m:oMath>
        <m:r>
          <m:t>15</m:t>
        </m:r>
        <m:r>
          <m:rPr>
            <m:sty m:val="p"/>
          </m:rPr>
          <m:t>%</m:t>
        </m:r>
      </m:oMath>
      <w:r>
        <w:t xml:space="preserve">, 25 draws), a deterministic</w:t>
      </w:r>
      <w:r>
        <w:t xml:space="preserve"> </w:t>
      </w:r>
      <w:r>
        <w:t xml:space="preserve">zero-shock proxy of the exported-risk ranking has mean Spearman</w:t>
      </w:r>
      <w:r>
        <w:t xml:space="preserve"> </w:t>
      </w:r>
      <m:oMath>
        <m:r>
          <m:t>0.88</m:t>
        </m:r>
      </m:oMath>
      <w:r>
        <w:t xml:space="preserve"> </w:t>
      </w:r>
      <w:r>
        <w:t xml:space="preserve">with its unperturbed version</w:t>
      </w:r>
      <w:r>
        <w:t xml:space="preserve"> </w:t>
      </w:r>
      <w:r>
        <w:t xml:space="preserve">(minimum</w:t>
      </w:r>
      <w:r>
        <w:t xml:space="preserve"> </w:t>
      </w:r>
      <m:oMath>
        <m:r>
          <m:t>0.66</m:t>
        </m:r>
      </m:oMath>
      <w:r>
        <w:t xml:space="preserve">, top-three overlap</w:t>
      </w:r>
      <w:r>
        <w:t xml:space="preserve"> </w:t>
      </w:r>
      <m:oMath>
        <m:r>
          <m:t>0.79</m:t>
        </m:r>
      </m:oMath>
      <w:r>
        <w:t xml:space="preserve">). The proxy’s base ranking (retail, HTX, Bitfinex, Copper,</w:t>
      </w:r>
      <w:r>
        <w:t xml:space="preserve"> </w:t>
      </w:r>
      <w:r>
        <w:t xml:space="preserve">FalconX) is not the Monte-Carlo ranking of Table </w:t>
      </w:r>
      <w:hyperlink w:anchor="tab:rank">
        <w:r>
          <w:rPr>
            <w:rStyle w:val="Hyperlink"/>
          </w:rPr>
          <w:t xml:space="preserve">3</w:t>
        </w:r>
      </w:hyperlink>
      <w:r>
        <w:t xml:space="preserve">, so this checks the stability of the</w:t>
      </w:r>
      <w:r>
        <w:t xml:space="preserve"> </w:t>
      </w:r>
      <w:r>
        <w:t xml:space="preserve">method and not of the reported ranking.</w:t>
      </w:r>
    </w:p>
    <w:bookmarkEnd w:id="64"/>
    <w:bookmarkStart w:id="66" w:name="subsec:multievent"/>
    <w:p>
      <w:pPr>
        <w:pStyle w:val="Heading2"/>
      </w:pPr>
      <w:r>
        <w:t xml:space="preserve">Multi-event validation</w:t>
      </w:r>
    </w:p>
    <w:p>
      <w:pPr>
        <w:pStyle w:val="FirstParagraph"/>
      </w:pPr>
      <w:r>
        <w:t xml:space="preserve">We rerun the pipeline on two earlier episodes: the FTX collapse</w:t>
      </w:r>
      <w:r>
        <w:t xml:space="preserve"> </w:t>
      </w:r>
      <w:r>
        <w:t xml:space="preserve">(event window 8–11 November 2022) and the USDC depeg around the Silicon Valley Bank</w:t>
      </w:r>
      <w:r>
        <w:t xml:space="preserve"> </w:t>
      </w:r>
      <w:r>
        <w:t xml:space="preserve">failure (event window 10–13 March 2023), using the dollar assets present then and the same</w:t>
      </w:r>
      <w:r>
        <w:t xml:space="preserve"> </w:t>
      </w:r>
      <w:r>
        <w:t xml:space="preserve">CEX label set (Appendix </w:t>
      </w:r>
      <w:hyperlink w:anchor="app:impl">
        <w:r>
          <w:rPr>
            <w:rStyle w:val="Hyperlink"/>
          </w:rPr>
          <w:t xml:space="preserve">7</w:t>
        </w:r>
      </w:hyperlink>
      <w:r>
        <w:t xml:space="preserve">). Table </w:t>
      </w:r>
      <w:hyperlink w:anchor="tab:multievent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reports the results. Transmitter rankings are sensible in each event without retuning: Binance and Coinbase lead in FTX,</w:t>
      </w:r>
      <w:r>
        <w:t xml:space="preserve"> </w:t>
      </w:r>
      <w:r>
        <w:t xml:space="preserve">and the major exchanges lead in the SVB depeg. The reversal results are</w:t>
      </w:r>
      <w:r>
        <w:t xml:space="preserve"> </w:t>
      </w:r>
      <w:r>
        <w:t xml:space="preserve">mixed. In FTX the true-direction graph is best. In SVB it beats the reversed graph but the</w:t>
      </w:r>
      <w:r>
        <w:t xml:space="preserve"> </w:t>
      </w:r>
      <w:r>
        <w:t xml:space="preserve">symmetric graph is marginally best. In the October 2025 cascade the three graphs lie within</w:t>
      </w:r>
      <w:r>
        <w:t xml:space="preserve"> </w:t>
      </w:r>
      <m:oMath>
        <m:r>
          <m:t>1.663</m:t>
        </m:r>
      </m:oMath>
      <w:r>
        <w:t xml:space="preserve">–</w:t>
      </w:r>
      <m:oMath>
        <m:r>
          <m:t>1.675</m:t>
        </m:r>
      </m:oMath>
      <w:r>
        <w:t xml:space="preserve">. Direction is informative in FTX, where contagion spreads outward from a</w:t>
      </w:r>
      <w:r>
        <w:t xml:space="preserve"> </w:t>
      </w:r>
      <w:r>
        <w:t xml:space="preserve">failing venue, and it is not decisive in SVB or in the custodial October cascade. These</w:t>
      </w:r>
      <w:r>
        <w:t xml:space="preserve"> </w:t>
      </w:r>
      <w:r>
        <w:t xml:space="preserve">comparisons are low-powered: the earlier episodes have 7 and 9 pre-event fitting days and 44 and</w:t>
      </w:r>
      <w:r>
        <w:t xml:space="preserve"> </w:t>
      </w:r>
      <w:r>
        <w:t xml:space="preserve">48 one-step predictions, respectively.</w:t>
      </w:r>
    </w:p>
    <w:bookmarkStart w:id="65" w:name="tab:multievent"/>
    <w:p>
      <w:pPr>
        <w:pStyle w:val="TableCaption"/>
      </w:pPr>
      <w:r>
        <w:t xml:space="preserve">Multi-event validation: top OC-CoVaR transmitters and edge-reversal test across</w:t>
      </w:r>
      <w:r>
        <w:t xml:space="preserve"> </w:t>
      </w:r>
      <w:r>
        <w:t xml:space="preserve">three stress episodes (one-step weighted RMSE; lower is better; best graph bold).</w:t>
      </w:r>
    </w:p>
    <w:tbl>
      <w:tblPr>
        <w:tblStyle w:val="Table"/>
        <w:tblW w:type="pct" w:w="1300"/>
        <w:tblLook w:firstRow="1" w:lastRow="0" w:firstColumn="0" w:lastColumn="0" w:noHBand="0" w:noVBand="0" w:val="0020"/>
        <w:jc w:val="start"/>
        <w:tblCaption w:val="Multi-event validation: top OC-CoVaR transmitters and edge-reversal test across three stress episodes (one-step weighted RMSE; lower is better; best graph bold)."/>
      </w:tblPr>
      <w:tblGrid>
        <w:gridCol w:w="0"/>
        <w:gridCol w:w="2059"/>
        <w:gridCol w:w="0"/>
        <w:gridCol w:w="0"/>
        <w:gridCol w:w="0"/>
        <w:gridCol w:w="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 transmitters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true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reversed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symmetric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FTX (Nov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Binance, Coinbase, Crypto.com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1.455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best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USDC/SVB (Mar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retail, Bybit, Binance, OKX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symmetric best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 2025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retail, Binance, Coinbase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1.663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near-tie</w:t>
            </w:r>
          </w:p>
        </w:tc>
      </w:tr>
    </w:tbl>
    <w:bookmarkEnd w:id="65"/>
    <w:bookmarkEnd w:id="66"/>
    <w:bookmarkStart w:id="68" w:name="subsec:analytic-checks"/>
    <w:p>
      <w:pPr>
        <w:pStyle w:val="Heading2"/>
      </w:pPr>
      <w:r>
        <w:t xml:space="preserve">Analytic checks on the daily specification</w:t>
      </w:r>
    </w:p>
    <w:p>
      <w:pPr>
        <w:pStyle w:val="FirstParagraph"/>
      </w:pPr>
      <w:r>
        <w:t xml:space="preserve">The numbers come from</w:t>
      </w:r>
      <w:r>
        <w:t xml:space="preserve"> </w:t>
      </w:r>
      <w:r>
        <w:rPr>
          <w:rStyle w:val="VerbatimChar"/>
        </w:rPr>
        <w:t xml:space="preserve">results/analytics.json</w:t>
      </w:r>
      <w:r>
        <w:t xml:space="preserve"> </w:t>
      </w:r>
      <w:r>
        <w:t xml:space="preserve">(daily SCM,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7</m:t>
        </m:r>
      </m:oMath>
      <w:r>
        <w:t xml:space="preserve">, 17 entities; spectral radius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0.276</m:t>
        </m:r>
      </m:oMath>
      <w:r>
        <w:t xml:space="preserve">).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</m:oMath>
      <w:r>
        <w:t xml:space="preserve"> </w:t>
      </w:r>
      <w:r>
        <w:t xml:space="preserve">per unit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(Corollary </w:t>
      </w:r>
      <w:hyperlink w:anchor="cor:bound">
        <w:r>
          <w:rPr>
            <w:rStyle w:val="Hyperlink"/>
          </w:rPr>
          <w:t xml:space="preserve">3</w:t>
        </w:r>
      </w:hyperlink>
      <w:r>
        <w:t xml:space="preserve">), so the stored exported risk must satisfy</w:t>
      </w:r>
      <w:r>
        <w:t xml:space="preserve"> </w:t>
      </w:r>
      <m:oMath>
        <m:r>
          <m:rPr>
            <m:sty m:val="p"/>
            <m:scr m:val="script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 implied minimum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  <m:scr m:val="script"/>
          </m:rPr>
          <m:t>E</m:t>
        </m:r>
        <m:r>
          <m:rPr>
            <m:sty m:val="p"/>
          </m:rPr>
          <m:t>/</m:t>
        </m:r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 The infinite-horizon multiplier (Corollary </w:t>
      </w:r>
      <w:hyperlink w:anchor="cor:bound">
        <w:r>
          <w:rPr>
            <w:rStyle w:val="Hyperlink"/>
          </w:rPr>
          <w:t xml:space="preserve">3</w:t>
        </w:r>
      </w:hyperlink>
      <w:r>
        <w:t xml:space="preserve">(ii)) is a reference quantity, not a bound.</w:t>
      </w:r>
    </w:p>
    <w:bookmarkStart w:id="67" w:name="tab:bounds"/>
    <w:p>
      <w:pPr>
        <w:pStyle w:val="TableCaption"/>
      </w:pPr>
      <w:r>
        <w:t xml:space="preserve">Flow-free bounds on exported risk, daily specification (</w:t>
      </w:r>
      <m:oMath>
        <m:r>
          <m:t>T</m:t>
        </m:r>
        <m:r>
          <m:rPr>
            <m:sty m:val="p"/>
          </m:rPr>
          <m:t>=</m:t>
        </m:r>
        <m:r>
          <m:t>7</m:t>
        </m:r>
      </m:oMath>
      <w:r>
        <w:t xml:space="preserve">). Rows with</w:t>
      </w:r>
      <w:r>
        <w:t xml:space="preserve"> </w:t>
      </w:r>
      <w:r>
        <w:t xml:space="preserve">non-zero bound; the nine zero-bound entities are discussed in the text.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Flow-free bounds on exported risk, daily specification (T=7). Rows with non-zero bound; the nine zero-bound entities are discussed in the tex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Stored</w:t>
            </w:r>
            <w:r>
              <w:rPr>
                <w:bCs/>
                <w:b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E</m:t>
              </m:r>
            </m:oMath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(MC)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per unit</w:t>
            </w:r>
            <w:r>
              <w:rPr>
                <w:bCs/>
                <w:b/>
              </w:rP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Implied min. 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rPr>
                <w:bCs/>
                <w:b/>
              </w:rPr>
              <w:t xml:space="preserve">-horizon 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Bitget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Ethena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Bybit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FalconX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0.0195</w:t>
            </w:r>
          </w:p>
        </w:tc>
      </w:tr>
    </w:tbl>
    <w:bookmarkEnd w:id="67"/>
    <w:p>
      <w:pPr>
        <w:pStyle w:val="BodyText"/>
      </w:pPr>
      <w:r>
        <w:t xml:space="preserve">There are no violations of the bound. Nine entities have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all have stored</w:t>
      </w:r>
      <w:r>
        <w:t xml:space="preserve"> </w:t>
      </w:r>
      <m:oMath>
        <m:r>
          <m:rPr>
            <m:sty m:val="p"/>
            <m:scr m:val="script"/>
          </m:rPr>
          <m:t>E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Only Aave and MakerSky lack outgoing edges in the archived graph. For the other seven, every</w:t>
      </w:r>
      <w:r>
        <w:t xml:space="preserve"> </w:t>
      </w:r>
      <w:r>
        <w:t xml:space="preserve">archived outgoing coefficient rounds to zero at four decimals. This is a one-directional sanity</w:t>
      </w:r>
      <w:r>
        <w:t xml:space="preserve"> </w:t>
      </w:r>
      <w:r>
        <w:t xml:space="preserve">check (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  <m:scr m:val="script"/>
          </m:rPr>
          <m:t>E</m:t>
        </m:r>
        <m:r>
          <m:rPr>
            <m:sty m:val="p"/>
          </m:rPr>
          <m:t>=</m:t>
        </m:r>
        <m:r>
          <m:t>0</m:t>
        </m:r>
      </m:oMath>
      <w:r>
        <w:t xml:space="preserve">), not out-of-sample validation. Because coefficients are</w:t>
      </w:r>
      <w:r>
        <w:t xml:space="preserve"> </w:t>
      </w:r>
      <w:r>
        <w:t xml:space="preserve">archived to four decimals, the implied minimum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values are approximate. For Lido the</w:t>
      </w:r>
      <w:r>
        <w:t xml:space="preserve"> </w:t>
      </w:r>
      <w:r>
        <w:t xml:space="preserve">stored exported risk is consistent with the bound only if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2.97</m:t>
        </m:r>
      </m:oMath>
      <w:r>
        <w:t xml:space="preserve">; the hourly ranking</w:t>
      </w:r>
      <w:r>
        <w:t xml:space="preserve"> </w:t>
      </w:r>
      <w:r>
        <w:t xml:space="preserve">gives Lido zero exported risk.</w:t>
      </w:r>
    </w:p>
    <w:p>
      <w:pPr>
        <w:pStyle w:val="BodyText"/>
      </w:pPr>
      <w:r>
        <w:t xml:space="preserve">The certified ranking radius (Lemma </w:t>
      </w:r>
      <w:hyperlink w:anchor="lem:radius">
        <w:r>
          <w:rPr>
            <w:rStyle w:val="Hyperlink"/>
          </w:rPr>
          <w:t xml:space="preserve">1</w:t>
        </w:r>
      </w:hyperlink>
      <w:r>
        <w:t xml:space="preserve">) applies to the ranking by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under</w:t>
      </w:r>
      <w:r>
        <w:t xml:space="preserve"> </w:t>
      </w:r>
      <w:r>
        <w:t xml:space="preserve">relative coefficient perturbations</w:t>
      </w:r>
      <w:r>
        <w:t xml:space="preserve"> </w:t>
      </w:r>
      <m:oMath>
        <m:r>
          <m:t>ε</m:t>
        </m:r>
      </m:oMath>
      <w:r>
        <w:t xml:space="preserve">. For the top five entities (Bitget, Copper, Lido,</w:t>
      </w:r>
      <w:r>
        <w:t xml:space="preserve"> </w:t>
      </w:r>
      <w:r>
        <w:t xml:space="preserve">Bybit, Ethena), the certified radii for consecutive pairs are</w:t>
      </w:r>
      <w:r>
        <w:t xml:space="preserve"> </w:t>
      </w:r>
      <m:oMath>
        <m:r>
          <m:t>0.161</m:t>
        </m:r>
      </m:oMath>
      <w:r>
        <w:t xml:space="preserve">,</w:t>
      </w:r>
      <w:r>
        <w:t xml:space="preserve"> </w:t>
      </w:r>
      <m:oMath>
        <m:r>
          <m:t>0.027</m:t>
        </m:r>
      </m:oMath>
      <w:r>
        <w:t xml:space="preserve">,</w:t>
      </w:r>
      <w:r>
        <w:t xml:space="preserve"> </w:t>
      </w:r>
      <m:oMath>
        <m:r>
          <m:t>0.271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0.047</m:t>
        </m:r>
      </m:oMath>
      <w:r>
        <w:t xml:space="preserve">,</w:t>
      </w:r>
      <w:r>
        <w:t xml:space="preserve"> </w:t>
      </w:r>
      <w:r>
        <w:t xml:space="preserve">and no pair is certified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. The certificate does not cover the exported-risk ranking</w:t>
      </w:r>
      <w:r>
        <w:t xml:space="preserve"> </w:t>
      </w:r>
      <m:oMath>
        <m:r>
          <m:rPr>
            <m:sty m:val="p"/>
            <m:scr m:val="script"/>
          </m:rPr>
          <m:t>E</m:t>
        </m:r>
      </m:oMath>
      <w:r>
        <w:t xml:space="preserve">, flows, shocks,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or estimation error.</w:t>
      </w:r>
    </w:p>
    <w:p>
      <w:pPr>
        <w:pStyle w:val="BodyText"/>
      </w:pPr>
      <w:r>
        <w:t xml:space="preserve">On a synthetic deviation path (seed 7), the closed-form walk decomposition agrees with subset</w:t>
      </w:r>
      <w:r>
        <w:t xml:space="preserve"> </w:t>
      </w:r>
      <w:r>
        <w:t xml:space="preserve">enumeration to</w:t>
      </w:r>
      <w:r>
        <w:t xml:space="preserve"> </w:t>
      </w:r>
      <m:oMath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. Subset enumeration needs</w:t>
      </w:r>
      <w:r>
        <w:t xml:space="preserve"> </w:t>
      </w:r>
      <m:oMath>
        <m:sSup>
          <m:e>
            <m:r>
              <m:t>2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oracle calls against</w:t>
      </w:r>
      <w:r>
        <w:t xml:space="preserve"> </w:t>
      </w:r>
      <m:oMath>
        <m:r>
          <m:t>p</m:t>
        </m:r>
        <m:r>
          <m:rPr>
            <m:sty m:val="p"/>
          </m:rPr>
          <m:t>!</m:t>
        </m:r>
        <m:r>
          <m:t> 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permutations:</w:t>
      </w:r>
      <w:r>
        <w:t xml:space="preserve"> </w:t>
      </w:r>
      <m:oMath>
        <m:r>
          <m:t>8</m:t>
        </m:r>
        <m:r>
          <m:rPr>
            <m:sty m:val="p"/>
          </m:rPr>
          <m:t>,</m:t>
        </m:r>
        <m:r>
          <m:t>192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80</m:t>
        </m:r>
        <m:r>
          <m:rPr>
            <m:sty m:val="p"/>
          </m:rPr>
          <m:t>,</m:t>
        </m:r>
        <m:r>
          <m:t>951</m:t>
        </m:r>
        <m:r>
          <m:rPr>
            <m:sty m:val="p"/>
          </m:rPr>
          <m:t>,</m:t>
        </m:r>
        <m:r>
          <m:t>270</m:t>
        </m:r>
        <m:r>
          <m:rPr>
            <m:sty m:val="p"/>
          </m:rPr>
          <m:t>,</m:t>
        </m:r>
        <m:r>
          <m:t>400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13</m:t>
        </m:r>
      </m:oMath>
      <w:r>
        <w:t xml:space="preserve">, the retail parent set. The exact</w:t>
      </w:r>
      <w:r>
        <w:t xml:space="preserve"> </w:t>
      </w:r>
      <w:r>
        <w:t xml:space="preserve">subset computation for retail took</w:t>
      </w:r>
      <w:r>
        <w:t xml:space="preserve"> </w:t>
      </w:r>
      <m:oMath>
        <m:r>
          <m:t>0.19</m:t>
        </m:r>
      </m:oMath>
      <w:r>
        <w:t xml:space="preserve"> </w:t>
      </w:r>
      <w:r>
        <w:t xml:space="preserve">s on the machine used (timing is machine-dependent).</w:t>
      </w:r>
      <w:r>
        <w:t xml:space="preserve"> </w:t>
      </w:r>
      <w:r>
        <w:t xml:space="preserve">The hourly coefficients are not archived, so none of these checks covers the hourly specification.</w:t>
      </w:r>
    </w:p>
    <w:bookmarkEnd w:id="68"/>
    <w:bookmarkEnd w:id="69"/>
    <w:bookmarkStart w:id="73" w:name="sec:discussion"/>
    <w:p>
      <w:pPr>
        <w:pStyle w:val="Heading1"/>
      </w:pPr>
      <w:r>
        <w:t xml:space="preserve">Discussion and Conclusion</w:t>
      </w:r>
    </w:p>
    <w:p>
      <w:pPr>
        <w:pStyle w:val="FirstParagraph"/>
      </w:pPr>
      <w:r>
        <w:t xml:space="preserve">Treating the observed transaction graph as a structural causal model yields a ranking that differs</w:t>
      </w:r>
      <w:r>
        <w:t xml:space="preserve"> </w:t>
      </w:r>
      <w:r>
        <w:t xml:space="preserve">from</w:t>
      </w:r>
      <w:r>
        <w:t xml:space="preserve"> </w:t>
      </w:r>
      <m:oMath>
        <m:r>
          <m:t>Δ</m:t>
        </m:r>
      </m:oMath>
      <w:r>
        <w:t xml:space="preserve">CoVaR (Spearman</w:t>
      </w:r>
      <w:r>
        <w:t xml:space="preserve"> </w:t>
      </w:r>
      <m:oMath>
        <m:r>
          <m:t>0.52</m:t>
        </m:r>
      </m:oMath>
      <w:r>
        <w:t xml:space="preserve"> </w:t>
      </w:r>
      <w:r>
        <w:t xml:space="preserve">over six entities, hourly) and a counterfactual decomposition of</w:t>
      </w:r>
      <w:r>
        <w:t xml:space="preserve"> </w:t>
      </w:r>
      <w:r>
        <w:t xml:space="preserve">model-implied distress that is exact within the model. The graph</w:t>
      </w:r>
      <w:r>
        <w:t xml:space="preserve"> </w:t>
      </w:r>
      <w:r>
        <w:t xml:space="preserve">predicts the October 2025 event competitively with the estimated-graph baseline, by a margin whose</w:t>
      </w:r>
      <w:r>
        <w:t xml:space="preserve"> </w:t>
      </w:r>
      <w:r>
        <w:t xml:space="preserve">interval includes zero.</w:t>
      </w:r>
    </w:p>
    <w:p>
      <w:pPr>
        <w:pStyle w:val="BodyText"/>
      </w:pPr>
      <w:r>
        <w:t xml:space="preserve">The directional assumption A3 is the most nuanced result. Reversing flow edges degrades prediction</w:t>
      </w:r>
      <w:r>
        <w:t xml:space="preserve"> </w:t>
      </w:r>
      <w:r>
        <w:t xml:space="preserve">in FTX and on the non-flow target, but the symmetric graph is better than the true-direction graph</w:t>
      </w:r>
      <w:r>
        <w:t xml:space="preserve"> </w:t>
      </w:r>
      <w:r>
        <w:t xml:space="preserve">in several comparisons. The evidence supports connectivity as the dominant signal and direction as</w:t>
      </w:r>
      <w:r>
        <w:t xml:space="preserve"> </w:t>
      </w:r>
      <w:r>
        <w:t xml:space="preserve">an event-dependent refinement. VEIN should claim directed content where the mechanism is directional</w:t>
      </w:r>
      <w:r>
        <w:t xml:space="preserve"> </w:t>
      </w:r>
      <w:r>
        <w:t xml:space="preserve">(collateral and composability links, outward propagation from a stressed hub) and connectivity-level</w:t>
      </w:r>
      <w:r>
        <w:t xml:space="preserve"> </w:t>
      </w:r>
      <w:r>
        <w:t xml:space="preserve">content for symmetric settlement flows.</w:t>
      </w:r>
    </w:p>
    <w:p>
      <w:pPr>
        <w:pStyle w:val="BodyText"/>
      </w:pPr>
      <w:r>
        <w:t xml:space="preserve">Four limitations bound these conclusions. CEX opacity is the main threat to A2: the proximate cause,</w:t>
      </w:r>
      <w:r>
        <w:t xml:space="preserve"> </w:t>
      </w:r>
      <w:r>
        <w:t xml:space="preserve">an exchange’s pricing engine, is off-chain, and the robustness values bound but cannot remove this</w:t>
      </w:r>
      <w:r>
        <w:t xml:space="preserve"> </w:t>
      </w:r>
      <w:r>
        <w:t xml:space="preserve">threat. Resolution recall is the second: only about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of the $438bn of window flow moves directly</w:t>
      </w:r>
      <w:r>
        <w:t xml:space="preserve"> </w:t>
      </w:r>
      <w:r>
        <w:t xml:space="preserve">between two named entities, and the volume-weighted recall of the Tier-1 classifier is</w:t>
      </w:r>
      <w:r>
        <w:t xml:space="preserve"> </w:t>
      </w:r>
      <m:oMath>
        <m:r>
          <m:t>0.001</m:t>
        </m:r>
      </m:oMath>
      <w:r>
        <w:t xml:space="preserve"> </w:t>
      </w:r>
      <w:r>
        <w:t xml:space="preserve">(Appendix </w:t>
      </w:r>
      <w:hyperlink w:anchor="app:resolution">
        <w:r>
          <w:rPr>
            <w:rStyle w:val="Hyperlink"/>
          </w:rPr>
          <w:t xml:space="preserve">8</w:t>
        </w:r>
      </w:hyperlink>
      <w:r>
        <w:t xml:space="preserve">). Third, daily and hourly results disagree on the ranking, external validity holds only</w:t>
      </w:r>
      <w:r>
        <w:t xml:space="preserve"> </w:t>
      </w:r>
      <w:r>
        <w:t xml:space="preserve">hourly, and hourly coefficients are not archived. Fourth, three episodes are a small basis for</w:t>
      </w:r>
      <w:r>
        <w:t xml:space="preserve"> </w:t>
      </w:r>
      <w:r>
        <w:t xml:space="preserve">generality.</w:t>
      </w:r>
    </w:p>
    <w:p>
      <w:pPr>
        <w:pStyle w:val="BodyText"/>
      </w:pPr>
      <w:r>
        <w:t xml:space="preserve">VEIN offers a ranking of which on-chain entities export stress and a counterfactual statement of what</w:t>
      </w:r>
      <w:r>
        <w:t xml:space="preserve"> </w:t>
      </w:r>
      <w:r>
        <w:t xml:space="preserve">one entity’s distress contributed to others’ losses, both auditable from public ledger data. For supervisors</w:t>
      </w:r>
      <w:r>
        <w:t xml:space="preserve"> </w:t>
      </w:r>
      <w:r>
        <w:t xml:space="preserve">and exchange or protocol risk teams, this offers a transparent complement to price-based monitoring: each</w:t>
      </w:r>
      <w:r>
        <w:t xml:space="preserve"> </w:t>
      </w:r>
      <w:r>
        <w:t xml:space="preserve">attributed channel points to identifiable transfers that can be inspected, and the model-implied reading is</w:t>
      </w:r>
      <w:r>
        <w:t xml:space="preserve"> </w:t>
      </w:r>
      <w:r>
        <w:t xml:space="preserve">stated explicitly. Next steps are intraday analysis across several events and an instrumented treatment of the CEX engine.</w:t>
      </w:r>
    </w:p>
    <w:p>
      <w:pPr>
        <w:pStyle w:val="BodyText"/>
      </w:pPr>
      <w:r>
        <w:rPr>
          <w:bCs/>
          <w:b/>
        </w:rPr>
        <w:t xml:space="preserve">Data availability.</w:t>
      </w:r>
      <w:r>
        <w:t xml:space="preserve"> </w:t>
      </w:r>
      <w:r>
        <w:t xml:space="preserve">The repository</w:t>
      </w:r>
      <w:r>
        <w:t xml:space="preserve"> </w:t>
      </w:r>
      <w:r>
        <w:t xml:space="preserve">[repository link withheld for review]</w:t>
      </w:r>
      <w:r>
        <w:t xml:space="preserve"> </w:t>
      </w:r>
      <w:r>
        <w:t xml:space="preserve">contains all code, the SQL issued to Dune Analytics, and every derived result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results/*.json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results/*.md</w:t>
      </w:r>
      <w:r>
        <w:t xml:space="preserve">) underlying the numbers, tables and</w:t>
      </w:r>
      <w:r>
        <w:t xml:space="preserve"> </w:t>
      </w:r>
      <w:r>
        <w:t xml:space="preserve">figures. Raw Dune rows are not redistributed; the scripts regenerate them with a Dune API</w:t>
      </w:r>
      <w:r>
        <w:t xml:space="preserve"> </w:t>
      </w:r>
      <w:r>
        <w:t xml:space="preserve">key. The underlying public data come from Dune Analytics (</w:t>
      </w:r>
      <w:hyperlink r:id="rId70">
        <w:r>
          <w:rPr>
            <w:rStyle w:val="Hyperlink"/>
          </w:rPr>
          <w:t xml:space="preserve">https://dune.com</w:t>
        </w:r>
      </w:hyperlink>
      <w:r>
        <w:t xml:space="preserve">),</w:t>
      </w:r>
      <w:r>
        <w:t xml:space="preserve"> </w:t>
      </w:r>
      <w:r>
        <w:t xml:space="preserve">DefiLlama (</w:t>
      </w:r>
      <w:hyperlink r:id="rId71">
        <w:r>
          <w:rPr>
            <w:rStyle w:val="Hyperlink"/>
          </w:rPr>
          <w:t xml:space="preserve">https://defillama.com</w:t>
        </w:r>
      </w:hyperlink>
      <w:r>
        <w:t xml:space="preserve">) and Etherscan (</w:t>
      </w:r>
      <w:hyperlink r:id="rId72">
        <w:r>
          <w:rPr>
            <w:rStyle w:val="Hyperlink"/>
          </w:rPr>
          <w:t xml:space="preserve">https://etherscan.io</w:t>
        </w:r>
      </w:hyperlink>
      <w:r>
        <w:t xml:space="preserve">), as</w:t>
      </w:r>
      <w:r>
        <w:t xml:space="preserve"> </w:t>
      </w:r>
      <w:r>
        <w:t xml:space="preserve">described in Section </w:t>
      </w:r>
      <w:hyperlink w:anchor="sec:data">
        <w:r>
          <w:rPr>
            <w:rStyle w:val="Hyperlink"/>
          </w:rPr>
          <w:t xml:space="preserve">4</w:t>
        </w:r>
      </w:hyperlink>
      <w:r>
        <w:t xml:space="preserve">. No restricted or proprietary data were used.</w:t>
      </w:r>
    </w:p>
    <w:p>
      <w:pPr>
        <w:pStyle w:val="BodyText"/>
      </w:pPr>
      <w:r>
        <w:rPr>
          <w:bCs/>
          <w:b/>
        </w:rPr>
        <w:t xml:space="preserve">Ethics approval and consent to participate.</w:t>
      </w:r>
      <w:r>
        <w:t xml:space="preserve"> </w:t>
      </w:r>
      <w:r>
        <w:t xml:space="preserve">Not applicable: this study</w:t>
      </w:r>
      <w:r>
        <w:t xml:space="preserve"> </w:t>
      </w:r>
      <w:r>
        <w:t xml:space="preserve">uses only public, aggregated on-chain and market data and involves no human subjects.</w:t>
      </w:r>
    </w:p>
    <w:p>
      <w:pPr>
        <w:pStyle w:val="BodyText"/>
      </w:pPr>
      <w:r>
        <w:rPr>
          <w:bCs/>
          <w:b/>
        </w:rPr>
        <w:t xml:space="preserve">Consent for publication.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bCs/>
          <w:b/>
        </w:rPr>
        <w:t xml:space="preserve">Competing interests.</w:t>
      </w:r>
      <w:r>
        <w:t xml:space="preserve"> </w:t>
      </w:r>
      <w:r>
        <w:t xml:space="preserve">The author declares no competing interests.</w:t>
      </w:r>
    </w:p>
    <w:p>
      <w:pPr>
        <w:pStyle w:val="BodyText"/>
      </w:pPr>
      <w:r>
        <w:rPr>
          <w:bCs/>
          <w:b/>
        </w:rPr>
        <w:t xml:space="preserve">Funding.</w:t>
      </w:r>
      <w:r>
        <w:t xml:space="preserve"> </w:t>
      </w:r>
      <w:r>
        <w:t xml:space="preserve">No external funding supported this work.</w:t>
      </w:r>
    </w:p>
    <w:p>
      <w:pPr>
        <w:pStyle w:val="BodyText"/>
      </w:pPr>
      <w:r>
        <w:rPr>
          <w:bCs/>
          <w:b/>
        </w:rPr>
        <w:t xml:space="preserve">Authors’ contributions.</w:t>
      </w:r>
      <w:r>
        <w:t xml:space="preserve"> </w:t>
      </w:r>
      <w:r>
        <w:t xml:space="preserve">Withheld for review.</w:t>
      </w:r>
    </w:p>
    <w:bookmarkEnd w:id="73"/>
    <w:bookmarkStart w:id="74" w:name="app:impl"/>
    <w:p>
      <w:pPr>
        <w:pStyle w:val="Heading1"/>
      </w:pPr>
      <w:r>
        <w:t xml:space="preserve">Implementation details and backtests</w:t>
      </w:r>
    </w:p>
    <w:p>
      <w:pPr>
        <w:pStyle w:val="FirstParagraph"/>
      </w:pPr>
      <w:r>
        <w:t xml:space="preserve">The pipeline is implemented in Python, with on-chain data queried from Dune Analytics and cached by query hash. Structural equations</w:t>
      </w:r>
      <w:r>
        <w:t xml:space="preserve"> </w:t>
      </w:r>
      <w:hyperlink w:anchor="eq:fi">
        <w:r>
          <w:rPr>
            <w:rStyle w:val="Hyperlink"/>
          </w:rPr>
          <w:t xml:space="preserve">[eq:fi]</w:t>
        </w:r>
      </w:hyperlink>
      <w:r>
        <w:t xml:space="preserve"> </w:t>
      </w:r>
      <w:r>
        <w:t xml:space="preserve">are fitted by ridge regression with penalty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 The deposit-sweep threshold 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0.8</m:t>
        </m:r>
      </m:oMath>
      <w:r>
        <w:t xml:space="preserve">, graph edges are kept above US$1M (daily) or US$0.1M (hourly) cumulative flow, the</w:t>
      </w:r>
      <w:r>
        <w:t xml:space="preserve"> </w:t>
      </w:r>
      <w:r>
        <w:t xml:space="preserve">VaR level is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0.95</m:t>
        </m:r>
      </m:oMath>
      <w:r>
        <w:t xml:space="preserve">, and all Monte-Carlo and bootstrap procedures use seed</w:t>
      </w:r>
      <w:r>
        <w:t xml:space="preserve"> </w:t>
      </w:r>
      <m:oMath>
        <m:r>
          <m:t>7</m:t>
        </m:r>
      </m:oMath>
      <w:r>
        <w:t xml:space="preserve">. The H1 bootstrap resamples prediction-level errors i.i.d.</w:t>
      </w:r>
      <w:r>
        <w:t xml:space="preserve"> </w:t>
      </w:r>
      <w:r>
        <w:t xml:space="preserve">The coefficient-perturbation checks multiply every stress and flow coefficient by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η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η</m:t>
        </m:r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0.15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t xml:space="preserve">The consolidated hourly run fits the structural equations on</w:t>
      </w:r>
      <w:r>
        <w:t xml:space="preserve"> </w:t>
      </w:r>
      <m:oMath>
        <m:r>
          <m:t>600</m:t>
        </m:r>
      </m:oMath>
      <w:r>
        <w:t xml:space="preserve"> </w:t>
      </w:r>
      <w:r>
        <w:t xml:space="preserve">hours before 10 October 2025</w:t>
      </w:r>
      <w:r>
        <w:t xml:space="preserve"> </w:t>
      </w:r>
      <w:r>
        <w:t xml:space="preserve">and evaluates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event hours. It uses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Monte-Carlo paths per quantity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run_best.py</w:t>
      </w:r>
      <w:r>
        <w:t xml:space="preserve">), while the library defaults in</w:t>
      </w:r>
      <w:r>
        <w:t xml:space="preserve"> </w:t>
      </w:r>
      <w:r>
        <w:rPr>
          <w:rStyle w:val="VerbatimChar"/>
        </w:rPr>
        <w:t xml:space="preserve">vein/risk.py</w:t>
      </w:r>
      <w:r>
        <w:t xml:space="preserve"> </w:t>
      </w:r>
      <w:r>
        <w:t xml:space="preserve">are</w:t>
      </w:r>
      <w:r>
        <w:t xml:space="preserve"> </w:t>
      </w:r>
      <m:oMath>
        <m:r>
          <m:t>300</m:t>
        </m:r>
      </m:oMath>
      <w:r>
        <w:t xml:space="preserve">–</w:t>
      </w:r>
      <m:oMath>
        <m:r>
          <m:t>400</m:t>
        </m:r>
      </m:oMath>
      <w:r>
        <w:t xml:space="preserve">.</w:t>
      </w:r>
      <w:r>
        <w:t xml:space="preserve"> </w:t>
      </w:r>
      <w:r>
        <w:t xml:space="preserve">Severe-distress interventions set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to each entity’s</w:t>
      </w:r>
      <w:r>
        <w:t xml:space="preserve"> </w:t>
      </w:r>
      <m:oMath>
        <m:r>
          <m:t>95</m:t>
        </m:r>
      </m:oMath>
      <w:r>
        <w:t xml:space="preserve">th percentile of stress over the</w:t>
      </w:r>
      <w:r>
        <w:t xml:space="preserve"> </w:t>
      </w:r>
      <w:r>
        <w:t xml:space="preserve">full sample window, which includes the event.</w:t>
      </w:r>
    </w:p>
    <w:p>
      <w:pPr>
        <w:pStyle w:val="BodyText"/>
      </w:pPr>
      <w:r>
        <w:t xml:space="preserve">The reported runs resample residuals independently for each entity. The options</w:t>
      </w:r>
      <w:r>
        <w:t xml:space="preserve"> </w:t>
      </w:r>
      <w:r>
        <w:rPr>
          <w:rStyle w:val="VerbatimChar"/>
        </w:rPr>
        <w:t xml:space="preserve">joint=True</w:t>
      </w:r>
      <w:r>
        <w:t xml:space="preserve"> </w:t>
      </w:r>
      <w:r>
        <w:t xml:space="preserve">(one row index shared by all entities) and</w:t>
      </w:r>
      <w:r>
        <w:t xml:space="preserve"> </w:t>
      </w:r>
      <w:r>
        <w:rPr>
          <w:rStyle w:val="VerbatimChar"/>
        </w:rPr>
        <w:t xml:space="preserve">abduction="full"</w:t>
      </w:r>
      <w:r>
        <w:t xml:space="preserve"> </w:t>
      </w:r>
      <w:r>
        <w:t xml:space="preserve">(inverting the structural</w:t>
      </w:r>
      <w:r>
        <w:t xml:space="preserve"> </w:t>
      </w:r>
      <w:r>
        <w:t xml:space="preserve">equations on the observed event path) are available but were not used for the reported numbers.</w:t>
      </w:r>
      <w:r>
        <w:t xml:space="preserve"> </w:t>
      </w:r>
      <w:r>
        <w:t xml:space="preserve">The default</w:t>
      </w:r>
      <w:r>
        <w:t xml:space="preserve"> </w:t>
      </w:r>
      <w:r>
        <w:rPr>
          <w:rStyle w:val="VerbatimChar"/>
        </w:rPr>
        <w:t xml:space="preserve">abduction="legacy_zero"</w:t>
      </w:r>
      <w:r>
        <w:t xml:space="preserve"> </w:t>
      </w:r>
      <w:r>
        <w:t xml:space="preserve">sets event-window shocks to zero, as residuals exist</w:t>
      </w:r>
      <w:r>
        <w:t xml:space="preserve"> </w:t>
      </w:r>
      <w:r>
        <w:t xml:space="preserve">only on the pre-event days. The analytic checks use</w:t>
      </w:r>
      <w:r>
        <w:t xml:space="preserve"> </w:t>
      </w:r>
      <w:r>
        <w:rPr>
          <w:rStyle w:val="VerbatimChar"/>
        </w:rPr>
        <w:t xml:space="preserve">run_analytics.py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tests/test_analytics.py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Backtests.</w:t>
      </w:r>
      <w:r>
        <w:t xml:space="preserve"> </w:t>
      </w:r>
      <w:r>
        <w:t xml:space="preserve">A rolling historical VaR on daily returns (</w:t>
      </w:r>
      <m:oMath>
        <m:r>
          <m:t>n</m:t>
        </m:r>
        <m:r>
          <m:rPr>
            <m:sty m:val="p"/>
          </m:rPr>
          <m:t>=</m:t>
        </m:r>
        <m:r>
          <m:t>810</m:t>
        </m:r>
      </m:oMath>
      <w:r>
        <w:t xml:space="preserve">) has Kupiec</w:t>
      </w:r>
      <w:r>
        <w:t xml:space="preserve"> </w:t>
      </w:r>
      <w:r>
        <w:t xml:space="preserve">(Kupiec 1995)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0.24</m:t>
        </m:r>
      </m:oMath>
      <w:r>
        <w:t xml:space="preserve"> </w:t>
      </w:r>
      <w:r>
        <w:t xml:space="preserve">(BTC) and</w:t>
      </w:r>
      <w:r>
        <w:t xml:space="preserve"> </w:t>
      </w:r>
      <m:oMath>
        <m:r>
          <m:t>0.58</m:t>
        </m:r>
      </m:oMath>
      <w:r>
        <w:t xml:space="preserve"> </w:t>
      </w:r>
      <w:r>
        <w:t xml:space="preserve">(ETH), and Christoffersen</w:t>
      </w:r>
      <w:r>
        <w:t xml:space="preserve"> </w:t>
      </w:r>
      <w:r>
        <w:t xml:space="preserve">(Christoffersen 1998)</w:t>
      </w:r>
      <w:r>
        <w:t xml:space="preserve"> </w:t>
      </w:r>
      <w:r>
        <w:t xml:space="preserve">conditional-coverage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0.11</m:t>
        </m:r>
      </m:oMath>
      <w:r>
        <w:t xml:space="preserve"> </w:t>
      </w:r>
      <w:r>
        <w:t xml:space="preserve">(BTC) and</w:t>
      </w:r>
      <w:r>
        <w:t xml:space="preserve"> </w:t>
      </w:r>
      <m:oMath>
        <m:r>
          <m:t>0.001</m:t>
        </m:r>
      </m:oMath>
      <w:r>
        <w:t xml:space="preserve"> </w:t>
      </w:r>
      <w:r>
        <w:t xml:space="preserve">(ETH). The hourly backtest (</w:t>
      </w:r>
      <m:oMath>
        <m:r>
          <m:t>n</m:t>
        </m:r>
        <m:r>
          <m:rPr>
            <m:sty m:val="p"/>
          </m:rPr>
          <m:t>=</m:t>
        </m:r>
        <m:r>
          <m:t>886</m:t>
        </m:r>
      </m:oMath>
      <w:r>
        <w:t xml:space="preserve">) has Kupiec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0.03</m:t>
        </m:r>
      </m:oMath>
      <w:r>
        <w:t xml:space="preserve"> </w:t>
      </w:r>
      <w:r>
        <w:t xml:space="preserve">(BTC) and</w:t>
      </w:r>
      <w:r>
        <w:t xml:space="preserve"> </w:t>
      </w:r>
      <m:oMath>
        <m:r>
          <m:t>0.11</m:t>
        </m:r>
      </m:oMath>
      <w:r>
        <w:t xml:space="preserve"> </w:t>
      </w:r>
      <w:r>
        <w:t xml:space="preserve">(ETH).</w:t>
      </w:r>
    </w:p>
    <w:bookmarkEnd w:id="74"/>
    <w:bookmarkStart w:id="76" w:name="app:resolution"/>
    <w:p>
      <w:pPr>
        <w:pStyle w:val="Heading1"/>
      </w:pPr>
      <w:r>
        <w:t xml:space="preserve">Entity-resolution validation</w:t>
      </w:r>
    </w:p>
    <w:p>
      <w:pPr>
        <w:pStyle w:val="FirstParagraph"/>
      </w:pPr>
      <w:r>
        <w:t xml:space="preserve">Table </w:t>
      </w:r>
      <w:hyperlink w:anchor="tab:resval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reports the held-out validation of the Tier-1 classifier against</w:t>
      </w:r>
      <w:r>
        <w:t xml:space="preserve"> </w:t>
      </w:r>
      <w:r>
        <w:t xml:space="preserve">Dune’s curated labels on the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841</m:t>
        </m:r>
      </m:oMath>
      <w:r>
        <w:t xml:space="preserve"> </w:t>
      </w:r>
      <w:r>
        <w:t xml:space="preserve">event-window addresses, after the sentinel address</w:t>
      </w:r>
      <w:r>
        <w:t xml:space="preserve"> </w:t>
      </w:r>
      <w:r>
        <w:t xml:space="preserve">is excluded. The base rate of CEX-labelled addresses is</w:t>
      </w:r>
      <w:r>
        <w:t xml:space="preserve"> </w:t>
      </w:r>
      <m:oMath>
        <m:r>
          <m:t>0.5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40</m:t>
        </m:r>
      </m:oMath>
      <w:r>
        <w:t xml:space="preserve"> </w:t>
      </w:r>
      <w:r>
        <w:t xml:space="preserve">addresses). The</w:t>
      </w:r>
      <w:r>
        <w:t xml:space="preserve"> </w:t>
      </w:r>
      <w:r>
        <w:t xml:space="preserve">held-out ROC-AUC is</w:t>
      </w:r>
      <w:r>
        <w:t xml:space="preserve"> </w:t>
      </w:r>
      <m:oMath>
        <m:r>
          <m:t>0.98</m:t>
        </m:r>
      </m:oMath>
      <w:r>
        <w:t xml:space="preserve"> </w:t>
      </w:r>
      <w:r>
        <w:t xml:space="preserve">and the average precision</w:t>
      </w:r>
      <w:r>
        <w:t xml:space="preserve"> </w:t>
      </w:r>
      <m:oMath>
        <m:r>
          <m:t>0.24</m:t>
        </m:r>
      </m:oMath>
      <w:r>
        <w:t xml:space="preserve">.</w:t>
      </w:r>
    </w:p>
    <w:p>
      <w:pPr>
        <w:pStyle w:val="BodyText"/>
      </w:pPr>
      <w:r>
        <w:t xml:space="preserve">At its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-maximising threshold the classifier recovers a third of CEX-labelled addresses</w:t>
      </w:r>
      <w:r>
        <w:t xml:space="preserve"> </w:t>
      </w:r>
      <w:r>
        <w:t xml:space="preserve">by count (precision</w:t>
      </w:r>
      <w:r>
        <w:t xml:space="preserve"> </w:t>
      </w:r>
      <m:oMath>
        <m:r>
          <m:t>0.27</m:t>
        </m:r>
      </m:oMath>
      <w:r>
        <w:t xml:space="preserve">, recall</w:t>
      </w:r>
      <w:r>
        <w:t xml:space="preserve"> </w:t>
      </w:r>
      <m:oMath>
        <m:r>
          <m:t>0.33</m:t>
        </m:r>
      </m:oMath>
      <w:r>
        <w:t xml:space="preserve">), but by USD volume recall is only</w:t>
      </w:r>
      <w:r>
        <w:t xml:space="preserve"> </w:t>
      </w:r>
      <m:oMath>
        <m:r>
          <m:t>0.001</m:t>
        </m:r>
      </m:oMath>
      <w:r>
        <w:t xml:space="preserve">. It</w:t>
      </w:r>
      <w:r>
        <w:t xml:space="preserve"> </w:t>
      </w:r>
      <w:r>
        <w:t xml:space="preserve">misses high-volume CEX addresses, which matter most for a dollar-denominated measure. Tier 3</w:t>
      </w:r>
      <w:r>
        <w:t xml:space="preserve"> </w:t>
      </w:r>
      <w:r>
        <w:t xml:space="preserve">therefore remains the production resolver.</w:t>
      </w:r>
    </w:p>
    <w:bookmarkStart w:id="75" w:name="tab:resval"/>
    <w:p>
      <w:pPr>
        <w:pStyle w:val="TableCaption"/>
      </w:pPr>
      <w:r>
        <w:t xml:space="preserve">Entity-resolution validation (Tier-1/2 against held-out Dune labels; mint/burn</w:t>
      </w:r>
      <w:r>
        <w:t xml:space="preserve"> </w:t>
      </w:r>
      <w:r>
        <w:t xml:space="preserve">sentinel excluded).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Entity-resolution validation (Tier-1/2 against held-out Dune labels; mint/burn sentinel excluded)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Addresses (USDe event window)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t> </m:t>
              </m:r>
              <m:r>
                <m:t>841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CEX-labelled (base rate)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0.5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Tier-1 ROC-AUC (held out)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0.98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Tier-1 best-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precision / recall (by address count)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0.27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0.33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Tier-1 precision / recall at the same threshold (by USD volume)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0.21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0.001</m:t>
              </m:r>
            </m:oMath>
          </w:p>
        </w:tc>
      </w:tr>
    </w:tbl>
    <w:bookmarkEnd w:id="75"/>
    <w:bookmarkEnd w:id="76"/>
    <w:bookmarkStart w:id="78" w:name="app:proofs"/>
    <w:p>
      <w:pPr>
        <w:pStyle w:val="Heading1"/>
      </w:pPr>
      <w:r>
        <w:t xml:space="preserve">Proofs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 which is nondecreasing and 1-Lipschitz, so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≤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δ</m:t>
            </m:r>
          </m:e>
        </m:d>
        <m:r>
          <m:rPr>
            <m:sty m:val="p"/>
          </m:rPr>
          <m:t>−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Proof of Proposition </w:t>
      </w:r>
      <w:hyperlink w:anchor="prop:A">
        <w:r>
          <w:rPr>
            <w:rStyle w:val="Hyperlink"/>
            <w:bCs/>
            <w:b/>
          </w:rPr>
          <w:t xml:space="preserve">2</w:t>
        </w:r>
      </w:hyperlink>
      <w:r>
        <w:rPr>
          <w:bCs/>
          <w:b/>
        </w:rPr>
        <w:t xml:space="preserve">.</w:t>
      </w:r>
      <w:r>
        <w:t xml:space="preserve"> </w:t>
      </w:r>
      <w:r>
        <w:t xml:space="preserve">(a) Let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S</m:t>
            </m:r>
          </m:e>
          <m:sub>
            <m:r>
              <m:t>t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bSup>
        <m:r>
          <m:rPr>
            <m:sty m:val="p"/>
          </m:rPr>
          <m:t>−</m:t>
        </m:r>
        <m:sSubSup>
          <m:e>
            <m:r>
              <m:t>S</m:t>
            </m:r>
          </m:e>
          <m:sub>
            <m:r>
              <m:t>t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bSup>
      </m:oMath>
      <w:r>
        <w:t xml:space="preserve">.</w:t>
      </w:r>
      <w:r>
        <w:t xml:space="preserve"> </w:t>
      </w:r>
      <w:r>
        <w:t xml:space="preserve">Both paths share the initial state and the inputs</w:t>
      </w:r>
      <w:r>
        <w:t xml:space="preserve"> </w:t>
      </w:r>
      <m:oMath>
        <m:r>
          <m:t>κ</m:t>
        </m:r>
      </m:oMath>
      <w:r>
        <w:t xml:space="preserve">, so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For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p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p</m:t>
                </m:r>
              </m:sub>
            </m:sSub>
          </m:e>
        </m:nary>
        <m:sSub>
          <m:e>
            <m:r>
              <m:t>D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 For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T</m:t>
        </m:r>
      </m:oMath>
      <w:r>
        <w:t xml:space="preserve">. We show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τ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r>
        <w:t xml:space="preserve">induction.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.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i</m:t>
        </m:r>
      </m:oMath>
      <w:r>
        <w:t xml:space="preserve"> </w:t>
      </w:r>
      <w:r>
        <w:t xml:space="preserve">coordinates satisfy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s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p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p</m:t>
                </m:r>
              </m:sub>
            </m:sSub>
          </m:e>
        </m:nary>
        <m:sSub>
          <m:e>
            <m:r>
              <m:t>τ</m:t>
            </m:r>
          </m:e>
          <m:sub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s</m:t>
        </m:r>
        <m:r>
          <m:t> 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sSub>
                  <m:e>
                    <m:r>
                      <m:t>τ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</m:d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s</m:t>
        </m:r>
        <m:r>
          <m:t> </m:t>
        </m:r>
        <m:sSub>
          <m:e>
            <m:r>
              <m:t>τ</m:t>
            </m:r>
          </m:e>
          <m:sub>
            <m:r>
              <m:t>j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 since the reset</w:t>
      </w:r>
      <w:r>
        <w:t xml:space="preserve"> </w:t>
      </w:r>
      <w:r>
        <w:t xml:space="preserve">affects only the</w:t>
      </w:r>
      <w:r>
        <w:t xml:space="preserve"> </w:t>
      </w:r>
      <m:oMath>
        <m:r>
          <m:t>i</m:t>
        </m:r>
      </m:oMath>
      <w:r>
        <w:t xml:space="preserve">-th coordinate, and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r>
          <m:t>s</m:t>
        </m:r>
        <m:r>
          <m:t> </m:t>
        </m:r>
        <m:sSub>
          <m:e>
            <m:r>
              <m:t>τ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(b) For a fixed realisation 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S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bSup>
      </m:oMath>
      <w:r>
        <w:t xml:space="preserve">. Then</w:t>
      </w:r>
      <w:r>
        <w:t xml:space="preserve"> </w:t>
      </w:r>
      <m:oMath>
        <m:sSubSup>
          <m:e>
            <m:r>
              <m:t>L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bSup>
        <m:r>
          <m:rPr>
            <m:sty m:val="p"/>
          </m:rPr>
          <m:t>−</m:t>
        </m:r>
        <m:sSubSup>
          <m:e>
            <m:r>
              <m:t>L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  <m:r>
              <m:rPr>
                <m:sty m:val="p"/>
              </m:rPr>
              <m:t>&lt;</m:t>
            </m:r>
            <m:r>
              <m:t>T</m:t>
            </m:r>
          </m:sub>
          <m:sup>
            <m:r>
              <m:t>​</m:t>
            </m:r>
          </m: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j</m:t>
                        </m:r>
                        <m:r>
                          <m:t>i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−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</m:d>
              </m:e>
            </m:d>
          </m:e>
        </m:nary>
      </m:oMath>
      <w:r>
        <w:t xml:space="preserve">, and each summand lies 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min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sSub>
                  <m:e>
                    <m:r>
                      <m:t>τ</m:t>
                    </m:r>
                  </m:e>
                  <m:sub>
                    <m:r>
                      <m:t>j</m:t>
                    </m:r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0</m:t>
                </m:r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sSub>
                  <m:e>
                    <m:r>
                      <m:t>τ</m:t>
                    </m:r>
                  </m:e>
                  <m:sub>
                    <m:r>
                      <m:t>j</m:t>
                    </m:r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0</m:t>
                </m:r>
              </m:e>
            </m:d>
          </m:e>
        </m:d>
      </m:oMath>
      <w:r>
        <w:t xml:space="preserve">. The sums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these endpoints are deterministic, so</w:t>
      </w:r>
      <w:r>
        <w:t xml:space="preserve"> </w:t>
      </w:r>
      <m:oMath>
        <m:sSubSup>
          <m:e>
            <m:r>
              <m:t>L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bSup>
        <m:r>
          <m:rPr>
            <m:sty m:val="p"/>
          </m:rPr>
          <m:t>+</m:t>
        </m:r>
        <m:r>
          <m:rPr>
            <m:sty m:val="p"/>
          </m:rPr>
          <m:t>ℓ</m:t>
        </m:r>
        <m:r>
          <m:rPr>
            <m:sty m:val="p"/>
          </m:rPr>
          <m:t>≤</m:t>
        </m:r>
        <m:sSubSup>
          <m:e>
            <m:r>
              <m:t>L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bSup>
        <m:r>
          <m:rPr>
            <m:sty m:val="p"/>
          </m:rPr>
          <m:t>≤</m:t>
        </m:r>
        <m:sSubSup>
          <m:e>
            <m:r>
              <m:t>L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bSup>
        <m:r>
          <m:rPr>
            <m:sty m:val="p"/>
          </m:rPr>
          <m:t>+</m:t>
        </m:r>
        <m:r>
          <m:t>u</m:t>
        </m:r>
      </m:oMath>
      <w:r>
        <w:t xml:space="preserve"> </w:t>
      </w:r>
      <w:r>
        <w:t xml:space="preserve">pointwise. Quantiles are monotone and translation-equivariant, which gives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q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L</m:t>
                </m:r>
              </m:e>
              <m:sub>
                <m:r>
                  <m:t>j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</m:sup>
            </m:sSubSup>
          </m:e>
        </m:d>
        <m:r>
          <m:rPr>
            <m:sty m:val="p"/>
          </m:rPr>
          <m:t>+</m:t>
        </m:r>
        <m:r>
          <m:rPr>
            <m:sty m:val="p"/>
          </m:rPr>
          <m:t>ℓ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q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L</m:t>
                </m:r>
              </m:e>
              <m:sub>
                <m:r>
                  <m:t>j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s</m:t>
                    </m:r>
                  </m:e>
                </m:d>
              </m:sup>
            </m:sSubSup>
          </m:e>
        </m:d>
        <m:r>
          <m:rPr>
            <m:sty m:val="p"/>
          </m:rPr>
          <m:t>≤</m:t>
        </m:r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q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L</m:t>
                </m:r>
              </m:e>
              <m:sub>
                <m:r>
                  <m:t>j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</m:sup>
            </m:sSubSup>
          </m:e>
        </m:d>
        <m:r>
          <m:rPr>
            <m:sty m:val="p"/>
          </m:rPr>
          <m:t>+</m:t>
        </m:r>
        <m:r>
          <m:t>u</m:t>
        </m:r>
      </m:oMath>
      <w:r>
        <w:t xml:space="preserve">, and the same holds for the Monte-Carlo estimator with shared draws.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Cs/>
          <w:b/>
        </w:rPr>
        <w:t xml:space="preserve">Proof of Corollary </w:t>
      </w:r>
      <w:hyperlink w:anchor="cor:zero">
        <w:r>
          <w:rPr>
            <w:rStyle w:val="Hyperlink"/>
            <w:bCs/>
            <w:b/>
          </w:rPr>
          <w:t xml:space="preserve">2</w:t>
        </w:r>
      </w:hyperlink>
      <w:r>
        <w:rPr>
          <w:bCs/>
          <w:b/>
        </w:rPr>
        <w:t xml:space="preserve">.</w:t>
      </w:r>
      <w:r>
        <w:t xml:space="preserve"> </w:t>
      </w:r>
      <w:r>
        <w:t xml:space="preserve">The induction in the text shows that</w:t>
      </w:r>
      <w:r>
        <w:t xml:space="preserve"> </w:t>
      </w:r>
      <m:oMath>
        <m:sSub>
          <m:e>
            <m:r>
              <m:t>τ</m:t>
            </m:r>
          </m:e>
          <m:sub>
            <m:r>
              <m:t>j</m:t>
            </m:r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requires a directed path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length at most</w:t>
      </w:r>
      <w:r>
        <w:t xml:space="preserve"> </w:t>
      </w:r>
      <m:oMath>
        <m:r>
          <m:t>t</m:t>
        </m:r>
      </m:oMath>
      <w:r>
        <w:t xml:space="preserve">. Without such a path,</w:t>
      </w:r>
      <w:r>
        <w:t xml:space="preserve"> </w:t>
      </w:r>
      <m:oMath>
        <m:sSub>
          <m:e>
            <m:r>
              <m:t>τ</m:t>
            </m:r>
          </m:e>
          <m:sub>
            <m:r>
              <m:t>j</m:t>
            </m:r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the window and Corollary </w:t>
      </w:r>
      <w:hyperlink w:anchor="cor:pur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Δ</m:t>
        </m:r>
        <m:sSub>
          <m:e>
            <m:r>
              <m:rPr>
                <m:nor/>
                <m:sty m:val="p"/>
              </m:rPr>
              <m:t>OC-CoVaR</m:t>
            </m:r>
          </m:e>
          <m:sub>
            <m:r>
              <m:t>q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t> </m:t>
            </m:r>
            <m:r>
              <m:rPr>
                <m:sty m:val="p"/>
              </m:rPr>
              <m:t>|</m:t>
            </m:r>
            <m:r>
              <m:t> </m:t>
            </m:r>
            <m:r>
              <m:t>i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 For the attribution,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≡</m:t>
        </m:r>
        <m:r>
          <m:t>0</m:t>
        </m:r>
      </m:oMath>
      <w:r>
        <w:t xml:space="preserve"> </w:t>
      </w:r>
      <w:r>
        <w:t xml:space="preserve">in Proposition </w:t>
      </w:r>
      <w:hyperlink w:anchor="prop:B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i</m:t>
        </m:r>
        <m:r>
          <m:rPr>
            <m:sty m:val="p"/>
          </m:rPr>
          <m:t>}</m:t>
        </m:r>
      </m:oMath>
      <w:r>
        <w:t xml:space="preserve">, so</w:t>
      </w:r>
      <w:r>
        <w:t xml:space="preserve"> </w:t>
      </w:r>
      <w:hyperlink w:anchor="eq:cfhinge">
        <w:r>
          <w:rPr>
            <w:rStyle w:val="Hyperlink"/>
          </w:rPr>
          <w:t xml:space="preserve">[eq:cfhinge]</w:t>
        </w:r>
      </w:hyperlink>
      <w:r>
        <w:t xml:space="preserve"> </w:t>
      </w:r>
      <w:r>
        <w:t xml:space="preserve">gives</w:t>
      </w:r>
      <w:r>
        <w:t xml:space="preserve"> </w:t>
      </w:r>
      <m:oMath>
        <m:sSubSup>
          <m:e>
            <m:r>
              <m:t>Δ</m:t>
            </m:r>
          </m:e>
          <m:sub>
            <m:r>
              <m:t>i</m:t>
            </m:r>
          </m:sub>
          <m:sup>
            <m:r>
              <m:t>C</m:t>
            </m:r>
            <m:r>
              <m:t>F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Cs/>
          <w:b/>
        </w:rPr>
        <w:t xml:space="preserve">Proof of Corollary </w:t>
      </w:r>
      <w:hyperlink w:anchor="cor:bound">
        <w:r>
          <w:rPr>
            <w:rStyle w:val="Hyperlink"/>
            <w:bCs/>
            <w:b/>
          </w:rPr>
          <w:t xml:space="preserve">3</w:t>
        </w:r>
      </w:hyperlink>
      <w:r>
        <w:rPr>
          <w:bCs/>
          <w:b/>
        </w:rPr>
        <w:t xml:space="preserve">.</w:t>
      </w:r>
      <w:r>
        <w:t xml:space="preserve"> </w:t>
      </w:r>
      <w:r>
        <w:t xml:space="preserve">(i) The upper bound in Proposition </w:t>
      </w:r>
      <w:hyperlink w:anchor="prop:A">
        <w:r>
          <w:rPr>
            <w:rStyle w:val="Hyperlink"/>
          </w:rPr>
          <w:t xml:space="preserve">2</w:t>
        </w:r>
      </w:hyperlink>
      <w:r>
        <w:t xml:space="preserve">(b) is non-negative 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sSub>
              <m:e>
                <m:r>
                  <m:rPr>
                    <m:nor/>
                    <m:sty m:val="p"/>
                  </m:rPr>
                  <m:t>OC-CoVaR</m:t>
                </m:r>
              </m:e>
              <m:sub>
                <m:r>
                  <m:t>q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j</m:t>
                </m:r>
                <m:r>
                  <m:rPr>
                    <m:sty m:val="p"/>
                  </m:rPr>
                  <m:t>|</m:t>
                </m:r>
                <m:r>
                  <m:t>i</m:t>
                </m:r>
              </m:e>
            </m:d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≤</m:t>
        </m:r>
        <m:r>
          <m:t>s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max</m:t>
            </m:r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τ</m:t>
                </m:r>
              </m:e>
              <m:sub>
                <m:r>
                  <m:t>j</m:t>
                </m:r>
                <m:r>
                  <m:t>i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. Summing over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  <m:scr m:val="script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≤</m:t>
        </m:r>
        <m:r>
          <m:t>s</m:t>
        </m:r>
        <m:sSub>
          <m:e>
            <m:r>
              <m:t>Λ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rPr>
            <m:sty m:val="p"/>
            <m:scr m:val="script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(ii)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rPr>
                <m:sty m:val="p"/>
              </m:rPr>
              <m:t>⋅</m:t>
            </m:r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restricted to</w:t>
      </w:r>
      <w:r>
        <w:t xml:space="preserve"> </w:t>
      </w:r>
      <m:oMath>
        <m:r>
          <m:t>V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i</m:t>
        </m:r>
        <m:r>
          <m:rPr>
            <m:sty m:val="p"/>
          </m:rPr>
          <m:t>}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′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</m:oMath>
      <w:r>
        <w:t xml:space="preserve">, with</w:t>
      </w:r>
      <w:r>
        <w:t xml:space="preserve">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′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, we have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m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′</m:t>
            </m:r>
          </m:e>
          <m:sup>
            <m:r>
              <m:t>t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. The Cesàro mean of the</w:t>
      </w:r>
      <w:r>
        <w:t xml:space="preserve"> </w:t>
      </w:r>
      <w:r>
        <w:t xml:space="preserve">convergent sequence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converges to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 which gives the limit of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/</m:t>
        </m:r>
        <m:r>
          <m:t>T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Cs/>
          <w:b/>
        </w:rPr>
        <w:t xml:space="preserve">Proof of Proposition </w:t>
      </w:r>
      <w:hyperlink w:anchor="prop:B">
        <w:r>
          <w:rPr>
            <w:rStyle w:val="Hyperlink"/>
            <w:bCs/>
            <w:b/>
          </w:rPr>
          <w:t xml:space="preserve">3</w:t>
        </w:r>
      </w:hyperlink>
      <w:r>
        <w:rPr>
          <w:bCs/>
          <w:b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K</m:t>
            </m:r>
          </m:sup>
        </m:sSup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rPr>
                <m:sty m:val="p"/>
              </m:rPr>
              <m:t>f</m:t>
            </m:r>
          </m:sup>
        </m:sSup>
      </m:oMath>
      <w:r>
        <w:t xml:space="preserve">. Both paths</w:t>
      </w:r>
      <w:r>
        <w:t xml:space="preserve"> </w:t>
      </w:r>
      <w:r>
        <w:t xml:space="preserve">share the inputs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and the initial state, so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For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−</m:t>
        </m:r>
        <m:sSubSup>
          <m:e>
            <m:r>
              <m:t>S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f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. For</w:t>
      </w:r>
      <w:r>
        <w:t xml:space="preserve"> </w:t>
      </w:r>
      <m:oMath>
        <m:r>
          <m:t>j</m:t>
        </m:r>
        <m:r>
          <m:rPr>
            <m:sty m:val="p"/>
          </m:rPr>
          <m:t>∉</m:t>
        </m:r>
        <m:r>
          <m:t>K</m:t>
        </m:r>
      </m:oMath>
      <w:r>
        <w:t xml:space="preserve">, both paths satisfy</w:t>
      </w:r>
      <w:r>
        <w:t xml:space="preserve"> </w:t>
      </w:r>
      <w:hyperlink w:anchor="eq:linear">
        <w:r>
          <w:rPr>
            <w:rStyle w:val="Hyperlink"/>
          </w:rPr>
          <w:t xml:space="preserve">[eq:linear]</w:t>
        </w:r>
      </w:hyperlink>
      <w:r>
        <w:t xml:space="preserve">, so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p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p</m:t>
                </m:r>
              </m:sub>
            </m:sSub>
          </m:e>
        </m:nary>
        <m:sSub>
          <m:e>
            <m:r>
              <m:t>D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 Induction 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shows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</m:oMath>
      <w:r>
        <w:t xml:space="preserve">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 the same recursion with the same forcing. Hence</w:t>
      </w:r>
      <w:r>
        <w:t xml:space="preserve"> </w:t>
      </w:r>
      <m:oMath>
        <m:sSup>
          <m:e>
            <m:r>
              <m:t>S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rPr>
                <m:sty m:val="p"/>
              </m:rPr>
              <m:t>f</m:t>
            </m:r>
          </m:sup>
        </m:sSup>
        <m:r>
          <m:rPr>
            <m:sty m:val="p"/>
          </m:rPr>
          <m:t>−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i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≡</m:t>
        </m:r>
        <m:sSubSup>
          <m:e>
            <m:r>
              <m:t>S</m:t>
            </m:r>
          </m:e>
          <m:sub>
            <m:r>
              <m:t>i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p>
        </m:sSubSup>
      </m:oMath>
      <w:r>
        <w:t xml:space="preserve"> </w:t>
      </w:r>
      <w:r>
        <w:t xml:space="preserve">gives</w:t>
      </w:r>
      <w:r>
        <w:t xml:space="preserve"> </w:t>
      </w:r>
      <m:oMath>
        <m:sSubSup>
          <m:e>
            <m:r>
              <m:t>L</m:t>
            </m:r>
          </m:e>
          <m:sub>
            <m:r>
              <m:t>j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max</m:t>
            </m:r>
          </m:e>
        </m:nary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S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  <m:sup>
                <m:r>
                  <m:rPr>
                    <m:sty m:val="p"/>
                  </m:rPr>
                  <m:t>f</m:t>
                </m:r>
              </m:sup>
            </m:sSubSup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{</m:t>
                </m:r>
                <m:r>
                  <m:t>i</m:t>
                </m:r>
                <m:r>
                  <m:rPr>
                    <m:sty m:val="p"/>
                  </m:rPr>
                  <m:t>}</m:t>
                </m:r>
              </m:e>
            </m:d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:cfhinge">
        <w:r>
          <w:rPr>
            <w:rStyle w:val="Hyperlink"/>
          </w:rPr>
          <w:t xml:space="preserve">[eq:cfhinge]</w:t>
        </w:r>
      </w:hyperlink>
      <w:r>
        <w:t xml:space="preserve"> </w:t>
      </w:r>
      <w:r>
        <w:t xml:space="preserve">follows from</w:t>
      </w:r>
      <w:r>
        <w:t xml:space="preserve"> </w:t>
      </w:r>
      <m:oMath>
        <m:sSubSup>
          <m:e>
            <m:r>
              <m:t>Δ</m:t>
            </m:r>
          </m:e>
          <m:sub>
            <m:r>
              <m:t>i</m:t>
            </m:r>
          </m:sub>
          <m:sup>
            <m:r>
              <m:t>C</m:t>
            </m:r>
            <m:r>
              <m:t>F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sSubSup>
          <m:e>
            <m:r>
              <m:t>L</m:t>
            </m:r>
          </m:e>
          <m:sub>
            <m:r>
              <m:t>j</m:t>
            </m:r>
          </m:sub>
          <m:sup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</m:sup>
        </m:sSubSup>
        <m:r>
          <m:rPr>
            <m:sty m:val="p"/>
          </m:rPr>
          <m:t>−</m:t>
        </m:r>
        <m:sSubSup>
          <m:e>
            <m:r>
              <m:t>L</m:t>
            </m:r>
          </m:e>
          <m:sub>
            <m:r>
              <m:t>j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</m:sup>
        </m:sSubSup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Cs/>
          <w:b/>
        </w:rPr>
        <w:t xml:space="preserve">Proof of Proposition </w:t>
      </w:r>
      <w:hyperlink w:anchor="prop:C">
        <w:r>
          <w:rPr>
            <w:rStyle w:val="Hyperlink"/>
            <w:bCs/>
            <w:b/>
          </w:rPr>
          <w:t xml:space="preserve">4</w:t>
        </w:r>
      </w:hyperlink>
      <w:r>
        <w:rPr>
          <w:bCs/>
          <w:b/>
        </w:rPr>
        <w:t xml:space="preserve">.</w:t>
      </w:r>
      <w:r>
        <w:t xml:space="preserve"> </w:t>
      </w:r>
      <w:r>
        <w:t xml:space="preserve">(a) Unrolling the recursion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backwards from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, a node in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stops the recursion as a forcing term and a node outside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it to its parents. Hence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is the sum of</w:t>
      </w:r>
      <w:r>
        <w:t xml:space="preserve"> </w:t>
      </w:r>
      <m:oMath>
        <m:r>
          <m:t>ω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over walks from a forced node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whose intermediate nodes avoid</w:t>
      </w:r>
      <w:r>
        <w:t xml:space="preserve"> </w:t>
      </w:r>
      <m:oMath>
        <m:r>
          <m:t>K</m:t>
        </m:r>
      </m:oMath>
      <w:r>
        <w:t xml:space="preserve">, which is the indicator in (a). Walks that revisit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among their intermediates and are excluded by the same condition, so restricting to</w:t>
      </w:r>
      <w:r>
        <w:t xml:space="preserve"> </w:t>
      </w:r>
      <m:oMath>
        <m:r>
          <m:rPr>
            <m:sty m:val="p"/>
            <m:scr m:val="script"/>
          </m:rPr>
          <m:t>W</m:t>
        </m:r>
      </m:oMath>
      <w:r>
        <w:t xml:space="preserve"> </w:t>
      </w:r>
      <w:r>
        <w:t xml:space="preserve">changes nothing.</w:t>
      </w:r>
    </w:p>
    <w:p>
      <w:pPr>
        <w:pStyle w:val="BodyText"/>
      </w:pPr>
      <w:r>
        <w:t xml:space="preserve">(b) By linearity it suffices to treat</w:t>
      </w:r>
      <w:r>
        <w:t xml:space="preserve"> </w:t>
      </w:r>
      <m:oMath>
        <m:sSub>
          <m:e>
            <m:r>
              <m:t>u</m:t>
            </m:r>
          </m:e>
          <m:sub>
            <m:r>
              <m:t>w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rPr>
            <m:sty m:val="b"/>
          </m:rPr>
          <m:t>1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∈</m:t>
            </m:r>
            <m:r>
              <m:t>K</m:t>
            </m:r>
            <m:r>
              <m:rPr>
                <m:sty m:val="p"/>
              </m:rPr>
              <m:t>,</m:t>
            </m:r>
            <m:r>
              <m:t> </m:t>
            </m:r>
            <m:r>
              <m:t>I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w</m:t>
                </m:r>
              </m:e>
            </m:d>
            <m:r>
              <m:rPr>
                <m:sty m:val="p"/>
              </m:rPr>
              <m:t>∩</m:t>
            </m:r>
            <m: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∅</m:t>
            </m:r>
          </m:e>
        </m:d>
      </m:oMath>
      <w:r>
        <w:t xml:space="preserve">. 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I</m:t>
            </m:r>
          </m:e>
        </m:d>
      </m:oMath>
      <w:r>
        <w:t xml:space="preserve">, 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be the players preceding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 uniformly</w:t>
      </w:r>
      <w:r>
        <w:t xml:space="preserve"> </w:t>
      </w:r>
      <w:r>
        <w:t xml:space="preserve">random ordering; the Shapley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 expected marginal contribution. 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marginal is</w:t>
      </w:r>
      <w:r>
        <w:t xml:space="preserve"> </w:t>
      </w:r>
      <m:oMath>
        <m:r>
          <m:rPr>
            <m:sty m:val="b"/>
          </m:rPr>
          <m:t>1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∩</m:t>
            </m:r>
            <m: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∅</m:t>
            </m:r>
          </m:e>
        </m:d>
      </m:oMath>
      <w:r>
        <w:t xml:space="preserve">,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precedes all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.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the marginal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"/>
          </m:rPr>
          <m:t>1</m:t>
        </m:r>
        <m:d>
          <m:dPr>
            <m:begChr m:val="["/>
            <m:endChr m:val="]"/>
            <m:sepChr m:val="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∩</m:t>
            </m:r>
            <m: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∅</m:t>
            </m:r>
          </m:e>
        </m:d>
      </m:oMath>
      <w:r>
        <w:t xml:space="preserve">.</w:t>
      </w:r>
      <w:r>
        <w:t xml:space="preserve"> </w:t>
      </w:r>
      <w:r>
        <w:t xml:space="preserve">This requires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be first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second among</w:t>
      </w:r>
      <w:r>
        <w:t xml:space="preserve"> </w:t>
      </w:r>
      <m:oMath>
        <m:r>
          <m:rPr>
            <m:sty m:val="p"/>
          </m:rPr>
          <m:t>{</m:t>
        </m:r>
        <m:r>
          <m:t>k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t>I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m</m:t>
            </m:r>
          </m:e>
        </m:d>
      </m:oMath>
      <w:r>
        <w:t xml:space="preserve">. For any other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game does not depend on</w:t>
      </w:r>
      <w:r>
        <w:t xml:space="preserve"> </w:t>
      </w:r>
      <m:oMath>
        <m:r>
          <m:t>y</m:t>
        </m:r>
      </m:oMath>
      <w:r>
        <w:t xml:space="preserve">. This gives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w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m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ϕ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w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I</m:t>
        </m:r>
      </m:oMath>
      <w:r>
        <w:t xml:space="preserve">, and zero otherwise. Summing</w:t>
      </w:r>
      <w:r>
        <w:t xml:space="preserve"> </w:t>
      </w:r>
      <w:r>
        <w:t xml:space="preserve">over walks with the weights</w:t>
      </w:r>
      <w:r>
        <w:t xml:space="preserve"> </w:t>
      </w:r>
      <m:oMath>
        <m:r>
          <m:t>ω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gives</w:t>
      </w:r>
      <w:r>
        <w:t xml:space="preserve"> </w:t>
      </w:r>
      <w:hyperlink w:anchor="eq:phi">
        <w:r>
          <w:rPr>
            <w:rStyle w:val="Hyperlink"/>
          </w:rPr>
          <w:t xml:space="preserve">[eq:phi]</w:t>
        </w:r>
      </w:hyperlink>
      <w:r>
        <w:t xml:space="preserve">.</w:t>
      </w:r>
    </w:p>
    <w:p>
      <w:pPr>
        <w:pStyle w:val="BodyText"/>
      </w:pPr>
      <w:r>
        <w:t xml:space="preserve">(c) Summing</w:t>
      </w:r>
      <w:r>
        <w:t xml:space="preserve"> </w:t>
      </w:r>
      <w:hyperlink w:anchor="eq:phi">
        <w:r>
          <w:rPr>
            <w:rStyle w:val="Hyperlink"/>
          </w:rPr>
          <w:t xml:space="preserve">[eq:phi]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ω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d>
          <m:dPr>
            <m:begChr m:val="["/>
            <m:endChr m:val="]"/>
            <m:sepChr m:val="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, which matches (a)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P</m:t>
        </m:r>
      </m:oMath>
      <w:r>
        <w:t xml:space="preserve">.</w:t>
      </w:r>
    </w:p>
    <w:p>
      <w:pPr>
        <w:pStyle w:val="BodyText"/>
      </w:pPr>
      <w:r>
        <w:t xml:space="preserve">(d) If</w:t>
      </w:r>
      <w:r>
        <w:t xml:space="preserve"> </w:t>
      </w:r>
      <m:oMath>
        <m:sSubSup>
          <m:e>
            <m:r>
              <m:t>S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f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f</m:t>
            </m:r>
          </m:sup>
        </m:sSubSup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, then both hinge terms are linear, so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bookmarkStart w:id="77" w:name="lem:radius"/>
    <w:p>
      <w:pPr>
        <w:pStyle w:val="BodyText"/>
      </w:pPr>
      <w:r>
        <w:rPr>
          <w:bCs/>
          <w:b/>
        </w:rPr>
        <w:t xml:space="preserve">Lemma 1</w:t>
      </w:r>
      <w:r>
        <w:t xml:space="preserve"> </w:t>
      </w:r>
      <w:r>
        <w:t xml:space="preserve">(Certified ranking radius).</w:t>
      </w:r>
      <w:r>
        <w:t xml:space="preserve"> </w:t>
      </w:r>
      <w:r>
        <w:t xml:space="preserve"> </w:t>
      </w:r>
      <w:r>
        <w:rPr>
          <w:iCs/>
          <w:i/>
        </w:rPr>
        <w:t xml:space="preserve">Let</w:t>
      </w:r>
      <w:r>
        <w:rPr>
          <w:iCs/>
          <w:i/>
        </w:rP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rPr>
          <w:iCs/>
          <w:i/>
        </w:rPr>
        <w:t xml:space="preserve"> </w:t>
      </w:r>
      <w:r>
        <w:rPr>
          <w:iCs/>
          <w:i/>
        </w:rPr>
        <w:t xml:space="preserve">satisfy</w:t>
      </w:r>
      <w:r>
        <w:rPr>
          <w:iCs/>
          <w:i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j</m:t>
                </m:r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p</m:t>
                </m:r>
              </m:sub>
            </m:sSub>
          </m:e>
        </m:d>
        <m:r>
          <m:rPr>
            <m:sty m:val="p"/>
          </m:rPr>
          <m:t>≤</m:t>
        </m:r>
        <m:r>
          <m:t>ε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p</m:t>
                </m:r>
              </m:sub>
            </m:sSub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with the same sparsity</w:t>
      </w:r>
      <w:r>
        <w:rPr>
          <w:iCs/>
          <w:i/>
        </w:rPr>
        <w:t xml:space="preserve"> </w:t>
      </w:r>
      <w:r>
        <w:rPr>
          <w:iCs/>
          <w:i/>
        </w:rPr>
        <w:t xml:space="preserve">pattern, and let</w:t>
      </w:r>
      <w:r>
        <w:rPr>
          <w:iCs/>
          <w:i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b>
            <m:r>
              <m:t>i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be</w:t>
      </w:r>
      <w:r>
        <w:rPr>
          <w:iCs/>
          <w:i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computed from</w:t>
      </w:r>
      <w:r>
        <w:rPr>
          <w:iCs/>
          <w:i/>
        </w:rP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rPr>
          <w:iCs/>
          <w:i/>
        </w:rPr>
        <w:t xml:space="preserve">. Then</w:t>
      </w:r>
      <w:r>
        <w:rPr>
          <w:iCs/>
          <w:i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Λ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ε</m:t>
            </m:r>
          </m:e>
        </m:d>
      </m:oMath>
      <w:r>
        <w:rPr>
          <w:iCs/>
          <w:i/>
        </w:rPr>
        <w:t xml:space="preserve">, where</w:t>
      </w:r>
      <w:r>
        <w:rPr>
          <w:iCs/>
          <w:i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ε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≠</m:t>
            </m:r>
            <m:r>
              <m:t>i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t</m:t>
                </m:r>
                <m:r>
                  <m:rPr>
                    <m:sty m:val="p"/>
                  </m:rPr>
                  <m:t>&lt;</m:t>
                </m:r>
                <m:r>
                  <m:t>T</m:t>
                </m:r>
              </m:sub>
              <m:sup>
                <m:r>
                  <m:t>​</m:t>
                </m:r>
              </m:sup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j</m:t>
                        </m:r>
                        <m:r>
                          <m:t>i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ε</m:t>
                            </m:r>
                          </m:e>
                        </m:d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</m:e>
                        </m:d>
                      </m:sup>
                    </m:sSub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j</m:t>
                        </m:r>
                        <m:r>
                          <m:t>i</m:t>
                        </m:r>
                      </m:sub>
                      <m:sup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</m:e>
                        </m:d>
                      </m:sup>
                    </m:sSub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d>
              </m:e>
            </m:nary>
          </m:e>
        </m:nary>
      </m:oMath>
      <w:r>
        <w:rPr>
          <w:iCs/>
          <w:i/>
        </w:rPr>
        <w:t xml:space="preserve">.</w:t>
      </w:r>
      <w:r>
        <w:rPr>
          <w:iCs/>
          <w:i/>
        </w:rPr>
        <w:t xml:space="preserve"> </w:t>
      </w:r>
      <w:r>
        <w:rPr>
          <w:iCs/>
          <w:i/>
        </w:rPr>
        <w:t xml:space="preserve">If</w:t>
      </w:r>
      <w:r>
        <w:rPr>
          <w:iCs/>
          <w:i/>
        </w:rPr>
        <w:t xml:space="preserve"> </w:t>
      </w:r>
      <m:oMath>
        <m:sSub>
          <m:e>
            <m:r>
              <m:t>Λ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ε</m:t>
            </m:r>
          </m:e>
        </m:d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ε</m:t>
            </m:r>
          </m:e>
        </m:d>
      </m:oMath>
      <w:r>
        <w:rPr>
          <w:iCs/>
          <w:i/>
        </w:rPr>
        <w:t xml:space="preserve">, the order of the pair is</w:t>
      </w:r>
      <w:r>
        <w:rPr>
          <w:iCs/>
          <w:i/>
        </w:rPr>
        <w:t xml:space="preserve"> </w:t>
      </w:r>
      <w:r>
        <w:rPr>
          <w:iCs/>
          <w:i/>
        </w:rPr>
        <w:t xml:space="preserve">preserved under every such perturbation.</w:t>
      </w:r>
    </w:p>
    <w:bookmarkEnd w:id="77"/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m:oMath>
        <m:sSub>
          <m:e>
            <m:r>
              <m:t>τ</m:t>
            </m:r>
          </m:e>
          <m:sub>
            <m:r>
              <m:t>j</m:t>
            </m:r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 a sum over walks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length at most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avoiding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between. The telescoping bound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∏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∏</m:t>
            </m:r>
            <m:sSub>
              <m:e>
                <m:r>
                  <m:t>a</m:t>
                </m:r>
              </m:e>
              <m:sub>
                <m:r>
                  <m:t>e</m:t>
                </m:r>
              </m:sub>
            </m:sSub>
          </m:e>
        </m:d>
        <m:r>
          <m:rPr>
            <m:sty m:val="p"/>
          </m:rPr>
          <m:t>≤</m:t>
        </m:r>
        <m:r>
          <m:rPr>
            <m:sty m:val="p"/>
          </m:rPr>
          <m:t>∏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ε</m:t>
            </m:r>
          </m:e>
        </m:d>
        <m:d>
          <m:dPr>
            <m:begChr m:val="|"/>
            <m:endChr m:val="|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e</m:t>
                </m:r>
              </m:sub>
            </m:sSub>
          </m:e>
        </m:d>
        <m:r>
          <m:rPr>
            <m:sty m:val="p"/>
          </m:rPr>
          <m:t>−</m:t>
        </m:r>
        <m:r>
          <m:rPr>
            <m:sty m:val="p"/>
          </m:rPr>
          <m:t>∏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e</m:t>
                </m:r>
              </m:sub>
            </m:sSub>
          </m:e>
        </m:d>
      </m:oMath>
      <w:r>
        <w:t xml:space="preserve"> </w:t>
      </w:r>
      <w:r>
        <w:t xml:space="preserve">gives the entrywise bound,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1-Lipschitz. ◻</w:t>
      </w:r>
    </w:p>
    <w:bookmarkEnd w:id="78"/>
    <w:bookmarkStart w:id="144" w:name="refs"/>
    <w:bookmarkStart w:id="80" w:name="ref-acemoglu2015systemic"/>
    <w:p>
      <w:pPr>
        <w:pStyle w:val="Bibliography"/>
      </w:pPr>
      <w:r>
        <w:t xml:space="preserve">Acemoglu, Daron, Asuman Ozdaglar, and Alireza Tahbaz-Salehi. 2015.</w:t>
      </w:r>
      <w:r>
        <w:t xml:space="preserve"> </w:t>
      </w:r>
      <w:r>
        <w:t xml:space="preserve">“Systemic Risk and Stability in Financial Networks.”</w:t>
      </w:r>
      <w:r>
        <w:t xml:space="preserve"> </w:t>
      </w:r>
      <w:r>
        <w:rPr>
          <w:iCs/>
          <w:i/>
        </w:rPr>
        <w:t xml:space="preserve">American Economic Review</w:t>
      </w:r>
      <w:r>
        <w:t xml:space="preserve"> </w:t>
      </w:r>
      <w:r>
        <w:t xml:space="preserve">105 (2): 564–608.</w:t>
      </w:r>
      <w:r>
        <w:t xml:space="preserve"> </w:t>
      </w:r>
      <w:hyperlink r:id="rId79">
        <w:r>
          <w:rPr>
            <w:rStyle w:val="Hyperlink"/>
          </w:rPr>
          <w:t xml:space="preserve">https://doi.org/10.1257/aer.20130456</w:t>
        </w:r>
      </w:hyperlink>
      <w:r>
        <w:t xml:space="preserve">.</w:t>
      </w:r>
    </w:p>
    <w:bookmarkEnd w:id="80"/>
    <w:bookmarkStart w:id="82" w:name="ref-acharya2017measuring"/>
    <w:p>
      <w:pPr>
        <w:pStyle w:val="Bibliography"/>
      </w:pPr>
      <w:r>
        <w:t xml:space="preserve">Acharya, Viral V., Lasse Heje Pedersen, Thomas Philippon, and Matthew Richardson. 2017.</w:t>
      </w:r>
      <w:r>
        <w:t xml:space="preserve"> </w:t>
      </w:r>
      <w:r>
        <w:t xml:space="preserve">“Measuring Systemic Risk.”</w:t>
      </w:r>
      <w:r>
        <w:t xml:space="preserve"> </w:t>
      </w:r>
      <w:r>
        <w:rPr>
          <w:iCs/>
          <w:i/>
        </w:rPr>
        <w:t xml:space="preserve">The Review of Financial Studies</w:t>
      </w:r>
      <w:r>
        <w:t xml:space="preserve"> </w:t>
      </w:r>
      <w:r>
        <w:t xml:space="preserve">30 (1): 2–47.</w:t>
      </w:r>
      <w:r>
        <w:t xml:space="preserve"> </w:t>
      </w:r>
      <w:hyperlink r:id="rId81">
        <w:r>
          <w:rPr>
            <w:rStyle w:val="Hyperlink"/>
          </w:rPr>
          <w:t xml:space="preserve">https://doi.org/10.1093/rfs/hhw088</w:t>
        </w:r>
      </w:hyperlink>
      <w:r>
        <w:t xml:space="preserve">.</w:t>
      </w:r>
    </w:p>
    <w:bookmarkEnd w:id="82"/>
    <w:bookmarkStart w:id="84" w:name="ref-adrian2016covar"/>
    <w:p>
      <w:pPr>
        <w:pStyle w:val="Bibliography"/>
      </w:pPr>
      <w:r>
        <w:t xml:space="preserve">Adrian, Tobias, and Markus K. Brunnermeier. 2016.</w:t>
      </w:r>
      <w:r>
        <w:t xml:space="preserve"> </w:t>
      </w:r>
      <w:r>
        <w:t xml:space="preserve">“</w:t>
      </w:r>
      <w:r>
        <w:t xml:space="preserve">CoVaR</w:t>
      </w:r>
      <w:r>
        <w:t xml:space="preserve">.”</w:t>
      </w:r>
      <w:r>
        <w:t xml:space="preserve"> </w:t>
      </w:r>
      <w:r>
        <w:rPr>
          <w:iCs/>
          <w:i/>
        </w:rPr>
        <w:t xml:space="preserve">American Economic Review</w:t>
      </w:r>
      <w:r>
        <w:t xml:space="preserve"> </w:t>
      </w:r>
      <w:r>
        <w:t xml:space="preserve">106 (7): 1705–41.</w:t>
      </w:r>
      <w:r>
        <w:t xml:space="preserve"> </w:t>
      </w:r>
      <w:hyperlink r:id="rId83">
        <w:r>
          <w:rPr>
            <w:rStyle w:val="Hyperlink"/>
          </w:rPr>
          <w:t xml:space="preserve">https://doi.org/10.1257/aer.20120555</w:t>
        </w:r>
      </w:hyperlink>
      <w:r>
        <w:t xml:space="preserve">.</w:t>
      </w:r>
    </w:p>
    <w:bookmarkEnd w:id="84"/>
    <w:bookmarkStart w:id="86" w:name="ref-akcora2018bitcoin"/>
    <w:p>
      <w:pPr>
        <w:pStyle w:val="Bibliography"/>
      </w:pPr>
      <w:r>
        <w:t xml:space="preserve">Akcora, Cuneyt G., Matthew F. Dixon, Yulia R. Gel, and Murat Kantarcioglu. 2018.</w:t>
      </w:r>
      <w:r>
        <w:t xml:space="preserve"> </w:t>
      </w:r>
      <w:r>
        <w:t xml:space="preserve">“Bitcoin Risk Modeling with Blockchain Graphs.”</w:t>
      </w:r>
      <w:r>
        <w:t xml:space="preserve"> </w:t>
      </w:r>
      <w:r>
        <w:rPr>
          <w:iCs/>
          <w:i/>
        </w:rPr>
        <w:t xml:space="preserve">Economics Letters</w:t>
      </w:r>
      <w:r>
        <w:t xml:space="preserve"> </w:t>
      </w:r>
      <w:r>
        <w:t xml:space="preserve">173: 138–42.</w:t>
      </w:r>
      <w:r>
        <w:t xml:space="preserve"> </w:t>
      </w:r>
      <w:hyperlink r:id="rId85">
        <w:r>
          <w:rPr>
            <w:rStyle w:val="Hyperlink"/>
          </w:rPr>
          <w:t xml:space="preserve">https://doi.org/10.1016/j.econlet.2018.07.039</w:t>
        </w:r>
      </w:hyperlink>
      <w:r>
        <w:t xml:space="preserve">.</w:t>
      </w:r>
    </w:p>
    <w:bookmarkEnd w:id="86"/>
    <w:bookmarkStart w:id="87" w:name="ref-ali2025anatomy"/>
    <w:p>
      <w:pPr>
        <w:pStyle w:val="Bibliography"/>
      </w:pPr>
      <w:r>
        <w:t xml:space="preserve">Ali, Zeeshan. 2025.</w:t>
      </w:r>
      <w:r>
        <w:t xml:space="preserve"> </w:t>
      </w:r>
      <w:r>
        <w:t xml:space="preserve">“Anatomy of the</w:t>
      </w:r>
      <w:r>
        <w:t xml:space="preserve"> </w:t>
      </w:r>
      <w:r>
        <w:t xml:space="preserve">Oct</w:t>
      </w:r>
      <w:r>
        <w:t xml:space="preserve"> </w:t>
      </w:r>
      <w:r>
        <w:t xml:space="preserve">10–11, 2025 Crypto Liquidation Cascade: Macroeconomic Triggers, Market Microstructure, and Systemic Risk Lessons.”</w:t>
      </w:r>
      <w:r>
        <w:t xml:space="preserve"> </w:t>
      </w:r>
      <w:r>
        <w:t xml:space="preserve">SSRN Working Paper 5611392.</w:t>
      </w:r>
    </w:p>
    <w:bookmarkEnd w:id="87"/>
    <w:bookmarkStart w:id="88" w:name="ref-aufiero2025mapping"/>
    <w:p>
      <w:pPr>
        <w:pStyle w:val="Bibliography"/>
      </w:pPr>
      <w:r>
        <w:t xml:space="preserve">Aufiero, Sabrina, Silvia Bartolucci, Fabio Caccioli, and Pierpaolo Vivo. 2025.</w:t>
      </w:r>
      <w:r>
        <w:t xml:space="preserve"> </w:t>
      </w:r>
      <w:r>
        <w:t xml:space="preserve">“Mapping Microscopic and Systemic Risks in</w:t>
      </w:r>
      <w:r>
        <w:t xml:space="preserve"> </w:t>
      </w:r>
      <w:r>
        <w:t xml:space="preserve">TradFi</w:t>
      </w:r>
      <w:r>
        <w:t xml:space="preserve"> </w:t>
      </w:r>
      <w:r>
        <w:t xml:space="preserve">and</w:t>
      </w:r>
      <w:r>
        <w:t xml:space="preserve"> </w:t>
      </w:r>
      <w:r>
        <w:t xml:space="preserve">DeFi</w:t>
      </w:r>
      <w:r>
        <w:t xml:space="preserve">: A Literature Review.”</w:t>
      </w:r>
      <w:r>
        <w:t xml:space="preserve"> </w:t>
      </w:r>
      <w:r>
        <w:t xml:space="preserve">arXiv:2508.12007.</w:t>
      </w:r>
    </w:p>
    <w:bookmarkEnd w:id="88"/>
    <w:bookmarkStart w:id="90" w:name="ref-billio2012econometric"/>
    <w:p>
      <w:pPr>
        <w:pStyle w:val="Bibliography"/>
      </w:pPr>
      <w:r>
        <w:t xml:space="preserve">Billio, Monica, Mila Getmansky, Andrew W. Lo, and Loriana Pelizzon. 2012.</w:t>
      </w:r>
      <w:r>
        <w:t xml:space="preserve"> </w:t>
      </w:r>
      <w:r>
        <w:t xml:space="preserve">“Econometric Measures of Connectedness and Systemic Risk in the Finance and Insurance Sectors.”</w:t>
      </w:r>
      <w:r>
        <w:t xml:space="preserve"> </w:t>
      </w:r>
      <w:r>
        <w:rPr>
          <w:iCs/>
          <w:i/>
        </w:rPr>
        <w:t xml:space="preserve">Journal of Financial Economics</w:t>
      </w:r>
      <w:r>
        <w:t xml:space="preserve"> </w:t>
      </w:r>
      <w:r>
        <w:t xml:space="preserve">104 (3): 535–59.</w:t>
      </w:r>
      <w:r>
        <w:t xml:space="preserve"> </w:t>
      </w:r>
      <w:hyperlink r:id="rId89">
        <w:r>
          <w:rPr>
            <w:rStyle w:val="Hyperlink"/>
          </w:rPr>
          <w:t xml:space="preserve">https://doi.org/10.1016/j.jfineco.2011.12.010</w:t>
        </w:r>
      </w:hyperlink>
      <w:r>
        <w:t xml:space="preserve">.</w:t>
      </w:r>
    </w:p>
    <w:bookmarkEnd w:id="90"/>
    <w:bookmarkStart w:id="92" w:name="ref-christoffersen1998evaluating"/>
    <w:p>
      <w:pPr>
        <w:pStyle w:val="Bibliography"/>
      </w:pPr>
      <w:r>
        <w:t xml:space="preserve">Christoffersen, Peter F. 1998.</w:t>
      </w:r>
      <w:r>
        <w:t xml:space="preserve"> </w:t>
      </w:r>
      <w:r>
        <w:t xml:space="preserve">“Evaluating Interval Forecasts.”</w:t>
      </w:r>
      <w:r>
        <w:t xml:space="preserve"> </w:t>
      </w:r>
      <w:r>
        <w:rPr>
          <w:iCs/>
          <w:i/>
        </w:rPr>
        <w:t xml:space="preserve">International Economic Review</w:t>
      </w:r>
      <w:r>
        <w:t xml:space="preserve"> </w:t>
      </w:r>
      <w:r>
        <w:t xml:space="preserve">39 (4): 841–62.</w:t>
      </w:r>
      <w:r>
        <w:t xml:space="preserve"> </w:t>
      </w:r>
      <w:hyperlink r:id="rId91">
        <w:r>
          <w:rPr>
            <w:rStyle w:val="Hyperlink"/>
          </w:rPr>
          <w:t xml:space="preserve">https://doi.org/10.2307/2527341</w:t>
        </w:r>
      </w:hyperlink>
      <w:r>
        <w:t xml:space="preserve">.</w:t>
      </w:r>
    </w:p>
    <w:bookmarkEnd w:id="92"/>
    <w:bookmarkStart w:id="94" w:name="ref-cinelli2020sensitivity"/>
    <w:p>
      <w:pPr>
        <w:pStyle w:val="Bibliography"/>
      </w:pPr>
      <w:r>
        <w:t xml:space="preserve">Cinelli, Carlos, and Chad Hazlett. 2020.</w:t>
      </w:r>
      <w:r>
        <w:t xml:space="preserve"> </w:t>
      </w:r>
      <w:r>
        <w:t xml:space="preserve">“Making Sense of Sensitivity: Extending Omitted Variable Bias.”</w:t>
      </w:r>
      <w:r>
        <w:t xml:space="preserve"> </w:t>
      </w:r>
      <w:r>
        <w:rPr>
          <w:iCs/>
          <w:i/>
        </w:rPr>
        <w:t xml:space="preserve">Journal of the Royal Statistical Society: Series B (Statistical Methodology)</w:t>
      </w:r>
      <w:r>
        <w:t xml:space="preserve"> </w:t>
      </w:r>
      <w:r>
        <w:t xml:space="preserve">82 (1): 39–67.</w:t>
      </w:r>
      <w:r>
        <w:t xml:space="preserve"> </w:t>
      </w:r>
      <w:hyperlink r:id="rId93">
        <w:r>
          <w:rPr>
            <w:rStyle w:val="Hyperlink"/>
          </w:rPr>
          <w:t xml:space="preserve">https://doi.org/10.1111/rssb.12348</w:t>
        </w:r>
      </w:hyperlink>
      <w:r>
        <w:t xml:space="preserve">.</w:t>
      </w:r>
    </w:p>
    <w:bookmarkEnd w:id="94"/>
    <w:bookmarkStart w:id="95" w:name="ref-colombo2014order"/>
    <w:p>
      <w:pPr>
        <w:pStyle w:val="Bibliography"/>
      </w:pPr>
      <w:r>
        <w:t xml:space="preserve">Colombo, Diego, and Marloes H. Maathuis. 2014.</w:t>
      </w:r>
      <w:r>
        <w:t xml:space="preserve"> </w:t>
      </w:r>
      <w:r>
        <w:t xml:space="preserve">“Order-Independent Constraint-Based Causal Structure Learning.”</w:t>
      </w:r>
      <w:r>
        <w:t xml:space="preserve"> </w:t>
      </w:r>
      <w:r>
        <w:rPr>
          <w:iCs/>
          <w:i/>
        </w:rPr>
        <w:t xml:space="preserve">Journal of Machine Learning Research</w:t>
      </w:r>
      <w:r>
        <w:t xml:space="preserve"> </w:t>
      </w:r>
      <w:r>
        <w:t xml:space="preserve">15: 3921–62.</w:t>
      </w:r>
    </w:p>
    <w:bookmarkEnd w:id="95"/>
    <w:bookmarkStart w:id="97" w:name="ref-diebold2014network"/>
    <w:p>
      <w:pPr>
        <w:pStyle w:val="Bibliography"/>
      </w:pPr>
      <w:r>
        <w:t xml:space="preserve">Diebold, Francis X., and Kamil Yılmaz. 2014.</w:t>
      </w:r>
      <w:r>
        <w:t xml:space="preserve"> </w:t>
      </w:r>
      <w:r>
        <w:t xml:space="preserve">“On the Network Topology of Variance Decompositions: Measuring the Connectedness of Financial Firms.”</w:t>
      </w:r>
      <w:r>
        <w:t xml:space="preserve"> </w:t>
      </w:r>
      <w:r>
        <w:rPr>
          <w:iCs/>
          <w:i/>
        </w:rPr>
        <w:t xml:space="preserve">Journal of Econometrics</w:t>
      </w:r>
      <w:r>
        <w:t xml:space="preserve"> </w:t>
      </w:r>
      <w:r>
        <w:t xml:space="preserve">182 (1): 119–34.</w:t>
      </w:r>
      <w:r>
        <w:t xml:space="preserve"> </w:t>
      </w:r>
      <w:hyperlink r:id="rId96">
        <w:r>
          <w:rPr>
            <w:rStyle w:val="Hyperlink"/>
          </w:rPr>
          <w:t xml:space="preserve">https://doi.org/10.1016/j.jeconom.2014.04.012</w:t>
        </w:r>
      </w:hyperlink>
      <w:r>
        <w:t xml:space="preserve">.</w:t>
      </w:r>
    </w:p>
    <w:bookmarkEnd w:id="97"/>
    <w:bookmarkStart w:id="99" w:name="ref-drehmann2013measuring"/>
    <w:p>
      <w:pPr>
        <w:pStyle w:val="Bibliography"/>
      </w:pPr>
      <w:r>
        <w:t xml:space="preserve">Drehmann, Mathias, and Nikola Tarashev. 2013.</w:t>
      </w:r>
      <w:r>
        <w:t xml:space="preserve"> </w:t>
      </w:r>
      <w:r>
        <w:t xml:space="preserve">“Measuring the Systemic Importance of Interconnected Banks.”</w:t>
      </w:r>
      <w:r>
        <w:t xml:space="preserve"> </w:t>
      </w:r>
      <w:r>
        <w:rPr>
          <w:iCs/>
          <w:i/>
        </w:rPr>
        <w:t xml:space="preserve">Journal of Financial Intermediation</w:t>
      </w:r>
      <w:r>
        <w:t xml:space="preserve"> </w:t>
      </w:r>
      <w:r>
        <w:t xml:space="preserve">22 (4): 586–607.</w:t>
      </w:r>
      <w:r>
        <w:t xml:space="preserve"> </w:t>
      </w:r>
      <w:hyperlink r:id="rId98">
        <w:r>
          <w:rPr>
            <w:rStyle w:val="Hyperlink"/>
          </w:rPr>
          <w:t xml:space="preserve">https://doi.org/10.1016/j.jfi.2013.08.001</w:t>
        </w:r>
      </w:hyperlink>
      <w:r>
        <w:t xml:space="preserve">.</w:t>
      </w:r>
    </w:p>
    <w:bookmarkEnd w:id="99"/>
    <w:bookmarkStart w:id="101" w:name="ref-eisenberg2001systemic"/>
    <w:p>
      <w:pPr>
        <w:pStyle w:val="Bibliography"/>
      </w:pPr>
      <w:r>
        <w:t xml:space="preserve">Eisenberg, Larry, and Thomas H. Noe. 2001.</w:t>
      </w:r>
      <w:r>
        <w:t xml:space="preserve"> </w:t>
      </w:r>
      <w:r>
        <w:t xml:space="preserve">“Systemic Risk in Financial Systems.”</w:t>
      </w:r>
      <w:r>
        <w:t xml:space="preserve"> </w:t>
      </w:r>
      <w:r>
        <w:rPr>
          <w:iCs/>
          <w:i/>
        </w:rPr>
        <w:t xml:space="preserve">Management Science</w:t>
      </w:r>
      <w:r>
        <w:t xml:space="preserve"> </w:t>
      </w:r>
      <w:r>
        <w:t xml:space="preserve">47 (2): 236–49.</w:t>
      </w:r>
      <w:r>
        <w:t xml:space="preserve"> </w:t>
      </w:r>
      <w:hyperlink r:id="rId100">
        <w:r>
          <w:rPr>
            <w:rStyle w:val="Hyperlink"/>
          </w:rPr>
          <w:t xml:space="preserve">https://doi.org/10.1287/mnsc.47.2.236.9835</w:t>
        </w:r>
      </w:hyperlink>
      <w:r>
        <w:t xml:space="preserve">.</w:t>
      </w:r>
    </w:p>
    <w:bookmarkEnd w:id="101"/>
    <w:bookmarkStart w:id="102" w:name="ref-etesami2023tvdig"/>
    <w:p>
      <w:pPr>
        <w:pStyle w:val="Bibliography"/>
      </w:pPr>
      <w:r>
        <w:t xml:space="preserve">Etesami, Jalal, Ali Habibnia, and Negar Kiyavash. 2023.</w:t>
      </w:r>
      <w:r>
        <w:t xml:space="preserve"> </w:t>
      </w:r>
      <w:r>
        <w:t xml:space="preserve">“Modeling Systemic Risk: A Time-Varying Nonparametric Causal Inference Framework.”</w:t>
      </w:r>
      <w:r>
        <w:t xml:space="preserve"> </w:t>
      </w:r>
      <w:r>
        <w:t xml:space="preserve">arXiv:2312.16707.</w:t>
      </w:r>
    </w:p>
    <w:bookmarkEnd w:id="102"/>
    <w:bookmarkStart w:id="103" w:name="ref-farzulla2026asri"/>
    <w:p>
      <w:pPr>
        <w:pStyle w:val="Bibliography"/>
      </w:pPr>
      <w:r>
        <w:t xml:space="preserve">Farzulla, Murad, and Andrew Maksakov. 2026.</w:t>
      </w:r>
      <w:r>
        <w:t xml:space="preserve"> </w:t>
      </w:r>
      <w:r>
        <w:t xml:space="preserve">“</w:t>
      </w:r>
      <w:r>
        <w:t xml:space="preserve">ASRI</w:t>
      </w:r>
      <w:r>
        <w:t xml:space="preserve">: An Aggregated Systemic Risk Index for Cryptocurrency Markets.”</w:t>
      </w:r>
      <w:r>
        <w:t xml:space="preserve"> </w:t>
      </w:r>
      <w:r>
        <w:t xml:space="preserve">arXiv:2602.03874.</w:t>
      </w:r>
    </w:p>
    <w:bookmarkEnd w:id="103"/>
    <w:bookmarkStart w:id="105" w:name="ref-giudici2018corisk"/>
    <w:p>
      <w:pPr>
        <w:pStyle w:val="Bibliography"/>
      </w:pPr>
      <w:r>
        <w:t xml:space="preserve">Giudici, Paolo, and Laura Parisi. 2018.</w:t>
      </w:r>
      <w:r>
        <w:t xml:space="preserve"> </w:t>
      </w:r>
      <w:r>
        <w:t xml:space="preserve">“</w:t>
      </w:r>
      <w:r>
        <w:t xml:space="preserve">CoRisk</w:t>
      </w:r>
      <w:r>
        <w:t xml:space="preserve">: Credit Risk Contagion with Correlation Network Models.”</w:t>
      </w:r>
      <w:r>
        <w:t xml:space="preserve"> </w:t>
      </w:r>
      <w:r>
        <w:rPr>
          <w:iCs/>
          <w:i/>
        </w:rPr>
        <w:t xml:space="preserve">Risks</w:t>
      </w:r>
      <w:r>
        <w:t xml:space="preserve"> </w:t>
      </w:r>
      <w:r>
        <w:t xml:space="preserve">6 (3): 95.</w:t>
      </w:r>
      <w:r>
        <w:t xml:space="preserve"> </w:t>
      </w:r>
      <w:hyperlink r:id="rId104">
        <w:r>
          <w:rPr>
            <w:rStyle w:val="Hyperlink"/>
          </w:rPr>
          <w:t xml:space="preserve">https://doi.org/10.3390/risks6030095</w:t>
        </w:r>
      </w:hyperlink>
      <w:r>
        <w:t xml:space="preserve">.</w:t>
      </w:r>
    </w:p>
    <w:bookmarkEnd w:id="105"/>
    <w:bookmarkStart w:id="107" w:name="ref-glasserman2016contagion"/>
    <w:p>
      <w:pPr>
        <w:pStyle w:val="Bibliography"/>
      </w:pPr>
      <w:r>
        <w:t xml:space="preserve">Glasserman, Paul, and H. Peyton Young. 2016.</w:t>
      </w:r>
      <w:r>
        <w:t xml:space="preserve"> </w:t>
      </w:r>
      <w:r>
        <w:t xml:space="preserve">“Contagion in Financial Networks.”</w:t>
      </w:r>
      <w:r>
        <w:t xml:space="preserve"> </w:t>
      </w:r>
      <w:r>
        <w:rPr>
          <w:iCs/>
          <w:i/>
        </w:rPr>
        <w:t xml:space="preserve">Journal of Economic Literature</w:t>
      </w:r>
      <w:r>
        <w:t xml:space="preserve"> </w:t>
      </w:r>
      <w:r>
        <w:t xml:space="preserve">54 (3): 779–831.</w:t>
      </w:r>
      <w:r>
        <w:t xml:space="preserve"> </w:t>
      </w:r>
      <w:hyperlink r:id="rId106">
        <w:r>
          <w:rPr>
            <w:rStyle w:val="Hyperlink"/>
          </w:rPr>
          <w:t xml:space="preserve">https://doi.org/10.1257/jel.20151228</w:t>
        </w:r>
      </w:hyperlink>
      <w:r>
        <w:t xml:space="preserve">.</w:t>
      </w:r>
    </w:p>
    <w:bookmarkEnd w:id="107"/>
    <w:bookmarkStart w:id="109" w:name="ref-granger1969"/>
    <w:p>
      <w:pPr>
        <w:pStyle w:val="Bibliography"/>
      </w:pPr>
      <w:r>
        <w:t xml:space="preserve">Granger, C. W. J. 1969.</w:t>
      </w:r>
      <w:r>
        <w:t xml:space="preserve"> </w:t>
      </w:r>
      <w:r>
        <w:t xml:space="preserve">“Investigating Causal Relations by Econometric Models and Cross-Spectral Methods.”</w:t>
      </w:r>
      <w:r>
        <w:t xml:space="preserve"> </w:t>
      </w:r>
      <w:r>
        <w:rPr>
          <w:iCs/>
          <w:i/>
        </w:rPr>
        <w:t xml:space="preserve">Econometrica</w:t>
      </w:r>
      <w:r>
        <w:t xml:space="preserve"> </w:t>
      </w:r>
      <w:r>
        <w:t xml:space="preserve">37 (3): 424–38.</w:t>
      </w:r>
      <w:r>
        <w:t xml:space="preserve"> </w:t>
      </w:r>
      <w:hyperlink r:id="rId108">
        <w:r>
          <w:rPr>
            <w:rStyle w:val="Hyperlink"/>
          </w:rPr>
          <w:t xml:space="preserve">https://doi.org/10.2307/1912791</w:t>
        </w:r>
      </w:hyperlink>
      <w:r>
        <w:t xml:space="preserve">.</w:t>
      </w:r>
    </w:p>
    <w:bookmarkEnd w:id="109"/>
    <w:bookmarkStart w:id="111" w:name="ref-griffin2020bitcoin"/>
    <w:p>
      <w:pPr>
        <w:pStyle w:val="Bibliography"/>
      </w:pPr>
      <w:r>
        <w:t xml:space="preserve">Griffin, John M., and Amin Shams. 2020.</w:t>
      </w:r>
      <w:r>
        <w:t xml:space="preserve"> </w:t>
      </w:r>
      <w:r>
        <w:t xml:space="preserve">“Is Bitcoin Really Untethered?”</w:t>
      </w:r>
      <w:r>
        <w:t xml:space="preserve"> </w:t>
      </w:r>
      <w:r>
        <w:rPr>
          <w:iCs/>
          <w:i/>
        </w:rPr>
        <w:t xml:space="preserve">The Journal of Finance</w:t>
      </w:r>
      <w:r>
        <w:t xml:space="preserve"> </w:t>
      </w:r>
      <w:r>
        <w:t xml:space="preserve">75 (4): 1913–64.</w:t>
      </w:r>
      <w:r>
        <w:t xml:space="preserve"> </w:t>
      </w:r>
      <w:hyperlink r:id="rId110">
        <w:r>
          <w:rPr>
            <w:rStyle w:val="Hyperlink"/>
          </w:rPr>
          <w:t xml:space="preserve">https://doi.org/10.1111/jofi.12903</w:t>
        </w:r>
      </w:hyperlink>
      <w:r>
        <w:t xml:space="preserve">.</w:t>
      </w:r>
    </w:p>
    <w:bookmarkEnd w:id="111"/>
    <w:bookmarkStart w:id="112" w:name="ref-heskes2020causal"/>
    <w:p>
      <w:pPr>
        <w:pStyle w:val="Bibliography"/>
      </w:pPr>
      <w:r>
        <w:t xml:space="preserve">Heskes, Tom, Evi Sijben, Ioan Gabriel Bucur, and Tom Claassen. 2020.</w:t>
      </w:r>
      <w:r>
        <w:t xml:space="preserve"> </w:t>
      </w:r>
      <w:r>
        <w:t xml:space="preserve">“Causal Shapley Values: Exploiting Causal Knowledge to Explain Individual Predictions of Complex Models.”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 33 (NeurIPS 2020)</w:t>
      </w:r>
      <w:r>
        <w:t xml:space="preserve">.</w:t>
      </w:r>
    </w:p>
    <w:bookmarkEnd w:id="112"/>
    <w:bookmarkStart w:id="114" w:name="ref-kumar2025causalreview"/>
    <w:p>
      <w:pPr>
        <w:pStyle w:val="Bibliography"/>
      </w:pPr>
      <w:r>
        <w:t xml:space="preserve">Kumar, Satyam, Yelleti Vivek, Vadlamani Ravi, and Indranil Bose. 2025.</w:t>
      </w:r>
      <w:r>
        <w:t xml:space="preserve"> </w:t>
      </w:r>
      <w:r>
        <w:t xml:space="preserve">“A Comprehensive Review of Causal Inference in Banking, Finance, and Insurance.”</w:t>
      </w:r>
      <w:r>
        <w:t xml:space="preserve"> </w:t>
      </w:r>
      <w:r>
        <w:rPr>
          <w:iCs/>
          <w:i/>
        </w:rPr>
        <w:t xml:space="preserve">ACM Computing Surveys</w:t>
      </w:r>
      <w:r>
        <w:t xml:space="preserve"> </w:t>
      </w:r>
      <w:r>
        <w:t xml:space="preserve">57 (12).</w:t>
      </w:r>
      <w:r>
        <w:t xml:space="preserve"> </w:t>
      </w:r>
      <w:hyperlink r:id="rId113">
        <w:r>
          <w:rPr>
            <w:rStyle w:val="Hyperlink"/>
          </w:rPr>
          <w:t xml:space="preserve">https://doi.org/10.1145/3736752</w:t>
        </w:r>
      </w:hyperlink>
      <w:r>
        <w:t xml:space="preserve">.</w:t>
      </w:r>
    </w:p>
    <w:bookmarkEnd w:id="114"/>
    <w:bookmarkStart w:id="116" w:name="ref-kupiec1995techniques"/>
    <w:p>
      <w:pPr>
        <w:pStyle w:val="Bibliography"/>
      </w:pPr>
      <w:r>
        <w:t xml:space="preserve">Kupiec, Paul H. 1995.</w:t>
      </w:r>
      <w:r>
        <w:t xml:space="preserve"> </w:t>
      </w:r>
      <w:r>
        <w:t xml:space="preserve">“Techniques for Verifying the Accuracy of Risk Measurement Models.”</w:t>
      </w:r>
      <w:r>
        <w:t xml:space="preserve"> </w:t>
      </w:r>
      <w:r>
        <w:rPr>
          <w:iCs/>
          <w:i/>
        </w:rPr>
        <w:t xml:space="preserve">The Journal of Derivatives</w:t>
      </w:r>
      <w:r>
        <w:t xml:space="preserve"> </w:t>
      </w:r>
      <w:r>
        <w:t xml:space="preserve">3 (2): 73–84.</w:t>
      </w:r>
      <w:r>
        <w:t xml:space="preserve"> </w:t>
      </w:r>
      <w:hyperlink r:id="rId115">
        <w:r>
          <w:rPr>
            <w:rStyle w:val="Hyperlink"/>
          </w:rPr>
          <w:t xml:space="preserve">https://doi.org/10.3905/jod.1995.407942</w:t>
        </w:r>
      </w:hyperlink>
      <w:r>
        <w:t xml:space="preserve">.</w:t>
      </w:r>
    </w:p>
    <w:bookmarkEnd w:id="116"/>
    <w:bookmarkStart w:id="117" w:name="ref-lim2026cascade"/>
    <w:p>
      <w:pPr>
        <w:pStyle w:val="Bibliography"/>
      </w:pPr>
      <w:r>
        <w:t xml:space="preserve">Lim, Boon Chuan. 2026.</w:t>
      </w:r>
      <w:r>
        <w:t xml:space="preserve"> </w:t>
      </w:r>
      <w:r>
        <w:t xml:space="preserve">“Anatomy of a Crypto Cascade: Minute-Level Evidence from the</w:t>
      </w:r>
      <w:r>
        <w:t xml:space="preserve"> </w:t>
      </w:r>
      <w:r>
        <w:t xml:space="preserve">October</w:t>
      </w:r>
      <w:r>
        <w:t xml:space="preserve"> </w:t>
      </w:r>
      <w:r>
        <w:t xml:space="preserve">2025 Crash.”</w:t>
      </w:r>
      <w:r>
        <w:t xml:space="preserve"> </w:t>
      </w:r>
      <w:r>
        <w:t xml:space="preserve">SSRN Working Paper 6579278.</w:t>
      </w:r>
    </w:p>
    <w:bookmarkEnd w:id="117"/>
    <w:bookmarkStart w:id="119" w:name="ref-liu2023anatomy"/>
    <w:p>
      <w:pPr>
        <w:pStyle w:val="Bibliography"/>
      </w:pPr>
      <w:r>
        <w:t xml:space="preserve">Liu, Jiageng, Igor Makarov, and Antoinette Schoar. 2023.</w:t>
      </w:r>
      <w:r>
        <w:t xml:space="preserve"> </w:t>
      </w:r>
      <w:r>
        <w:t xml:space="preserve">“Anatomy of a Run: The Terra Luna Crash.”</w:t>
      </w:r>
      <w:r>
        <w:t xml:space="preserve"> </w:t>
      </w:r>
      <w:r>
        <w:t xml:space="preserve">Working Paper 31160. National Bureau of Economic Research.</w:t>
      </w:r>
      <w:r>
        <w:t xml:space="preserve"> </w:t>
      </w:r>
      <w:hyperlink r:id="rId118">
        <w:r>
          <w:rPr>
            <w:rStyle w:val="Hyperlink"/>
          </w:rPr>
          <w:t xml:space="preserve">https://doi.org/10.3386/w31160</w:t>
        </w:r>
      </w:hyperlink>
      <w:r>
        <w:t xml:space="preserve">.</w:t>
      </w:r>
    </w:p>
    <w:bookmarkEnd w:id="119"/>
    <w:bookmarkStart w:id="121" w:name="ref-makarov2020trading"/>
    <w:p>
      <w:pPr>
        <w:pStyle w:val="Bibliography"/>
      </w:pPr>
      <w:r>
        <w:t xml:space="preserve">Makarov, Igor, and Antoinette Schoar. 2020.</w:t>
      </w:r>
      <w:r>
        <w:t xml:space="preserve"> </w:t>
      </w:r>
      <w:r>
        <w:t xml:space="preserve">“Trading and Arbitrage in Cryptocurrency Markets.”</w:t>
      </w:r>
      <w:r>
        <w:t xml:space="preserve"> </w:t>
      </w:r>
      <w:r>
        <w:rPr>
          <w:iCs/>
          <w:i/>
        </w:rPr>
        <w:t xml:space="preserve">Journal of Financial Economics</w:t>
      </w:r>
      <w:r>
        <w:t xml:space="preserve"> </w:t>
      </w:r>
      <w:r>
        <w:t xml:space="preserve">135 (2): 293–319.</w:t>
      </w:r>
      <w:r>
        <w:t xml:space="preserve"> </w:t>
      </w:r>
      <w:hyperlink r:id="rId120">
        <w:r>
          <w:rPr>
            <w:rStyle w:val="Hyperlink"/>
          </w:rPr>
          <w:t xml:space="preserve">https://doi.org/10.1016/j.jfineco.2019.07.001</w:t>
        </w:r>
      </w:hyperlink>
      <w:r>
        <w:t xml:space="preserve">.</w:t>
      </w:r>
    </w:p>
    <w:bookmarkEnd w:id="121"/>
    <w:bookmarkStart w:id="123" w:name="ref-meiklejohn2013fistful"/>
    <w:p>
      <w:pPr>
        <w:pStyle w:val="Bibliography"/>
      </w:pPr>
      <w:r>
        <w:t xml:space="preserve">Meiklejohn, Sarah, Marjori Pomarole, Grant Jordan, Kirill Levchenko, Damon McCoy, Geoffrey M. Voelker, and Stefan Savage. 2013.</w:t>
      </w:r>
      <w:r>
        <w:t xml:space="preserve"> </w:t>
      </w:r>
      <w:r>
        <w:t xml:space="preserve">“A Fistful of Bitcoins: Characterizing Payments Among Men with No Names.”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ACM Internet Measurement Conference (IMC)</w:t>
      </w:r>
      <w:r>
        <w:t xml:space="preserve">, 127–40.</w:t>
      </w:r>
      <w:r>
        <w:t xml:space="preserve"> </w:t>
      </w:r>
      <w:hyperlink r:id="rId122">
        <w:r>
          <w:rPr>
            <w:rStyle w:val="Hyperlink"/>
          </w:rPr>
          <w:t xml:space="preserve">https://doi.org/10.1145/2504730.2504747</w:t>
        </w:r>
      </w:hyperlink>
      <w:r>
        <w:t xml:space="preserve">.</w:t>
      </w:r>
    </w:p>
    <w:bookmarkEnd w:id="123"/>
    <w:bookmarkStart w:id="125" w:name="ref-pearl2009causality"/>
    <w:p>
      <w:pPr>
        <w:pStyle w:val="Bibliography"/>
      </w:pPr>
      <w:r>
        <w:t xml:space="preserve">Pearl, Judea. 2009.</w:t>
      </w:r>
      <w:r>
        <w:t xml:space="preserve"> </w:t>
      </w:r>
      <w:r>
        <w:rPr>
          <w:iCs/>
          <w:i/>
        </w:rPr>
        <w:t xml:space="preserve">Causality: Models, Reasoning, and Inference</w:t>
      </w:r>
      <w:r>
        <w:t xml:space="preserve">. 2nd ed. Cambridge, UK: Cambridge University Press.</w:t>
      </w:r>
      <w:r>
        <w:t xml:space="preserve"> </w:t>
      </w:r>
      <w:hyperlink r:id="rId124">
        <w:r>
          <w:rPr>
            <w:rStyle w:val="Hyperlink"/>
          </w:rPr>
          <w:t xml:space="preserve">https://doi.org/10.1017/CBO9780511803161</w:t>
        </w:r>
      </w:hyperlink>
      <w:r>
        <w:t xml:space="preserve">.</w:t>
      </w:r>
    </w:p>
    <w:bookmarkEnd w:id="125"/>
    <w:bookmarkStart w:id="127" w:name="ref-pearl2019seven"/>
    <w:p>
      <w:pPr>
        <w:pStyle w:val="Bibliography"/>
      </w:pPr>
      <w:r>
        <w:t xml:space="preserve">———. 2019.</w:t>
      </w:r>
      <w:r>
        <w:t xml:space="preserve"> </w:t>
      </w:r>
      <w:r>
        <w:t xml:space="preserve">“The Seven Tools of Causal Inference, with Reflections on Machine Learning.”</w:t>
      </w:r>
      <w:r>
        <w:t xml:space="preserve"> </w:t>
      </w:r>
      <w:r>
        <w:rPr>
          <w:iCs/>
          <w:i/>
        </w:rPr>
        <w:t xml:space="preserve">Communications of the ACM</w:t>
      </w:r>
      <w:r>
        <w:t xml:space="preserve"> </w:t>
      </w:r>
      <w:r>
        <w:t xml:space="preserve">62 (3): 54–60.</w:t>
      </w:r>
      <w:r>
        <w:t xml:space="preserve"> </w:t>
      </w:r>
      <w:hyperlink r:id="rId126">
        <w:r>
          <w:rPr>
            <w:rStyle w:val="Hyperlink"/>
          </w:rPr>
          <w:t xml:space="preserve">https://doi.org/10.1145/3241036</w:t>
        </w:r>
      </w:hyperlink>
      <w:r>
        <w:t xml:space="preserve">.</w:t>
      </w:r>
    </w:p>
    <w:bookmarkEnd w:id="127"/>
    <w:bookmarkStart w:id="129" w:name="ref-qin2021liquidations"/>
    <w:p>
      <w:pPr>
        <w:pStyle w:val="Bibliography"/>
      </w:pPr>
      <w:r>
        <w:t xml:space="preserve">Qin, Kaihua, Liyi Zhou, Pablo Gamito, Philipp Jovanovic, and Arthur Gervais. 2021.</w:t>
      </w:r>
      <w:r>
        <w:t xml:space="preserve"> </w:t>
      </w:r>
      <w:r>
        <w:t xml:space="preserve">“An Empirical Study of</w:t>
      </w:r>
      <w:r>
        <w:t xml:space="preserve"> </w:t>
      </w:r>
      <w:r>
        <w:t xml:space="preserve">DeFi</w:t>
      </w:r>
      <w:r>
        <w:t xml:space="preserve"> </w:t>
      </w:r>
      <w:r>
        <w:t xml:space="preserve">Liquidations.”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21st ACM Internet Measurement Conference (IMC ’21)</w:t>
      </w:r>
      <w:r>
        <w:t xml:space="preserve">, 336–50.</w:t>
      </w:r>
      <w:r>
        <w:t xml:space="preserve"> </w:t>
      </w:r>
      <w:hyperlink r:id="rId128">
        <w:r>
          <w:rPr>
            <w:rStyle w:val="Hyperlink"/>
          </w:rPr>
          <w:t xml:space="preserve">https://doi.org/10.1145/3487552.3487811</w:t>
        </w:r>
      </w:hyperlink>
      <w:r>
        <w:t xml:space="preserve">.</w:t>
      </w:r>
    </w:p>
    <w:bookmarkEnd w:id="129"/>
    <w:bookmarkStart w:id="131" w:name="ref-rigana2023new"/>
    <w:p>
      <w:pPr>
        <w:pStyle w:val="Bibliography"/>
      </w:pPr>
      <w:r>
        <w:t xml:space="preserve">Rigana, Katerina, Ernst C. Wit, and Samantha Cook. 2023.</w:t>
      </w:r>
      <w:r>
        <w:t xml:space="preserve"> </w:t>
      </w:r>
      <w:r>
        <w:t xml:space="preserve">“A New Way of Measuring Effects of Financial Crisis on Contagion in Currency Markets.”</w:t>
      </w:r>
      <w:r>
        <w:t xml:space="preserve"> </w:t>
      </w:r>
      <w:r>
        <w:rPr>
          <w:iCs/>
          <w:i/>
        </w:rPr>
        <w:t xml:space="preserve">International Review of Financial Analysis</w:t>
      </w:r>
      <w:r>
        <w:t xml:space="preserve"> </w:t>
      </w:r>
      <w:r>
        <w:t xml:space="preserve">90: 102764.</w:t>
      </w:r>
      <w:r>
        <w:t xml:space="preserve"> </w:t>
      </w:r>
      <w:hyperlink r:id="rId130">
        <w:r>
          <w:rPr>
            <w:rStyle w:val="Hyperlink"/>
          </w:rPr>
          <w:t xml:space="preserve">https://doi.org/10.1016/j.irfa.2023.102764</w:t>
        </w:r>
      </w:hyperlink>
      <w:r>
        <w:t xml:space="preserve">.</w:t>
      </w:r>
    </w:p>
    <w:bookmarkEnd w:id="131"/>
    <w:bookmarkStart w:id="132" w:name="ref-rigana2024neco"/>
    <w:p>
      <w:pPr>
        <w:pStyle w:val="Bibliography"/>
      </w:pPr>
      <w:r>
        <w:t xml:space="preserve">———. 2024.</w:t>
      </w:r>
      <w:r>
        <w:t xml:space="preserve"> </w:t>
      </w:r>
      <w:r>
        <w:t xml:space="preserve">“Navigating Market Turbulence: Insights from Causal Network Contagion Value at Risk.”</w:t>
      </w:r>
      <w:r>
        <w:t xml:space="preserve"> </w:t>
      </w:r>
      <w:r>
        <w:t xml:space="preserve">arXiv:2402.06032.</w:t>
      </w:r>
    </w:p>
    <w:bookmarkEnd w:id="132"/>
    <w:bookmarkStart w:id="133" w:name="ref-sankaewtong2026tracing"/>
    <w:p>
      <w:pPr>
        <w:pStyle w:val="Bibliography"/>
      </w:pPr>
      <w:r>
        <w:t xml:space="preserve">Sankaewtong, Krongtum, Stefan Kitzler, Bernhard Haslhofer, and Yuichi Ikeda. 2026.</w:t>
      </w:r>
      <w:r>
        <w:t xml:space="preserve"> </w:t>
      </w:r>
      <w:r>
        <w:t xml:space="preserve">“Tracing Stablecoin Contagion During the</w:t>
      </w:r>
      <w:r>
        <w:t xml:space="preserve"> </w:t>
      </w:r>
      <w:r>
        <w:t xml:space="preserve">USDC</w:t>
      </w:r>
      <w:r>
        <w:t xml:space="preserve"> </w:t>
      </w:r>
      <w:r>
        <w:t xml:space="preserve">Depeg After the</w:t>
      </w:r>
      <w:r>
        <w:t xml:space="preserve"> </w:t>
      </w:r>
      <w:r>
        <w:t xml:space="preserve">Silicon Valley Bank</w:t>
      </w:r>
      <w:r>
        <w:t xml:space="preserve"> </w:t>
      </w:r>
      <w:r>
        <w:t xml:space="preserve">Collapse.”</w:t>
      </w:r>
      <w:r>
        <w:t xml:space="preserve"> </w:t>
      </w:r>
      <w:r>
        <w:t xml:space="preserve">arXiv:2606.07442.</w:t>
      </w:r>
    </w:p>
    <w:bookmarkEnd w:id="133"/>
    <w:bookmarkStart w:id="135" w:name="ref-shapley1953value"/>
    <w:p>
      <w:pPr>
        <w:pStyle w:val="Bibliography"/>
      </w:pPr>
      <w:r>
        <w:t xml:space="preserve">Shapley, L. S. 1953.</w:t>
      </w:r>
      <w:r>
        <w:t xml:space="preserve"> </w:t>
      </w:r>
      <w:r>
        <w:t xml:space="preserve">“A Value for</w:t>
      </w:r>
      <w:r>
        <w:t xml:space="preserve"> </w:t>
      </w:r>
      <m:oMath>
        <m:r>
          <m:t>n</m:t>
        </m:r>
      </m:oMath>
      <w:r>
        <w:t xml:space="preserve">-Person Games.”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Contributions to the Theory of Games, Volume II</w:t>
      </w:r>
      <w:r>
        <w:t xml:space="preserve">, edited by Harold W. Kuhn and Albert W. Tucker, 307–17. Annals of Mathematics Studies 28. Princeton, NJ: Princeton University Press.</w:t>
      </w:r>
      <w:r>
        <w:t xml:space="preserve"> </w:t>
      </w:r>
      <w:hyperlink r:id="rId134">
        <w:r>
          <w:rPr>
            <w:rStyle w:val="Hyperlink"/>
          </w:rPr>
          <w:t xml:space="preserve">https://doi.org/10.1515/9781400881970-018</w:t>
        </w:r>
      </w:hyperlink>
      <w:r>
        <w:t xml:space="preserve">.</w:t>
      </w:r>
    </w:p>
    <w:bookmarkEnd w:id="135"/>
    <w:bookmarkStart w:id="136" w:name="ref-singal2021flow"/>
    <w:p>
      <w:pPr>
        <w:pStyle w:val="Bibliography"/>
      </w:pPr>
      <w:r>
        <w:t xml:space="preserve">Singal, Raghav, George Michailidis, and Hoiyi Ng. 2021.</w:t>
      </w:r>
      <w:r>
        <w:t xml:space="preserve"> </w:t>
      </w:r>
      <w:r>
        <w:t xml:space="preserve">“Flow-Based Attribution in Graphical Models: A Recursive Shapley Approach.”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38th International Conference on Machine Learning (ICML 2021)</w:t>
      </w:r>
      <w:r>
        <w:t xml:space="preserve">, 139:9733–43. Proceedings of Machine Learning Research.</w:t>
      </w:r>
    </w:p>
    <w:bookmarkEnd w:id="136"/>
    <w:bookmarkStart w:id="137" w:name="ref-spirtes2000causation"/>
    <w:p>
      <w:pPr>
        <w:pStyle w:val="Bibliography"/>
      </w:pPr>
      <w:r>
        <w:t xml:space="preserve">Spirtes, Peter, Clark Glymour, and Richard Scheines. 2000.</w:t>
      </w:r>
      <w:r>
        <w:t xml:space="preserve"> </w:t>
      </w:r>
      <w:r>
        <w:rPr>
          <w:iCs/>
          <w:i/>
        </w:rPr>
        <w:t xml:space="preserve">Causation, Prediction, and Search</w:t>
      </w:r>
      <w:r>
        <w:t xml:space="preserve">. 2nd ed. Cambridge, MA: MIT Press.</w:t>
      </w:r>
    </w:p>
    <w:bookmarkEnd w:id="137"/>
    <w:bookmarkStart w:id="139" w:name="ref-tarashev2016attributing"/>
    <w:p>
      <w:pPr>
        <w:pStyle w:val="Bibliography"/>
      </w:pPr>
      <w:r>
        <w:t xml:space="preserve">Tarashev, Nikola, Claudio Borio, and Kostas Tsatsaronis. 2016.</w:t>
      </w:r>
      <w:r>
        <w:t xml:space="preserve"> </w:t>
      </w:r>
      <w:r>
        <w:t xml:space="preserve">“Risk Attribution Using the</w:t>
      </w:r>
      <w:r>
        <w:t xml:space="preserve"> </w:t>
      </w:r>
      <w:r>
        <w:t xml:space="preserve">Shapley</w:t>
      </w:r>
      <w:r>
        <w:t xml:space="preserve"> </w:t>
      </w:r>
      <w:r>
        <w:t xml:space="preserve">Value: Methodology and Policy Applications.”</w:t>
      </w:r>
      <w:r>
        <w:t xml:space="preserve"> </w:t>
      </w:r>
      <w:r>
        <w:rPr>
          <w:iCs/>
          <w:i/>
        </w:rPr>
        <w:t xml:space="preserve">Review of Finance</w:t>
      </w:r>
      <w:r>
        <w:t xml:space="preserve"> </w:t>
      </w:r>
      <w:r>
        <w:t xml:space="preserve">20 (3): 1189–1213.</w:t>
      </w:r>
      <w:r>
        <w:t xml:space="preserve"> </w:t>
      </w:r>
      <w:hyperlink r:id="rId138">
        <w:r>
          <w:rPr>
            <w:rStyle w:val="Hyperlink"/>
          </w:rPr>
          <w:t xml:space="preserve">https://doi.org/10.1093/rof/rfv028</w:t>
        </w:r>
      </w:hyperlink>
      <w:r>
        <w:t xml:space="preserve">.</w:t>
      </w:r>
    </w:p>
    <w:bookmarkEnd w:id="139"/>
    <w:bookmarkStart w:id="140" w:name="ref-weber2019antimoney"/>
    <w:p>
      <w:pPr>
        <w:pStyle w:val="Bibliography"/>
      </w:pPr>
      <w:r>
        <w:t xml:space="preserve">Weber, Mark, Giacomo Domeniconi, Jie Chen, Daniel Karl I. Weidele, Claudio Bellei, Tom Robinson, and Charles E. Leiserson. 2019.</w:t>
      </w:r>
      <w:r>
        <w:t xml:space="preserve"> </w:t>
      </w:r>
      <w:r>
        <w:t xml:space="preserve">“Anti-Money Laundering in Bitcoin: Experimenting with Graph Convolutional Networks for Financial Forensics.”</w:t>
      </w:r>
      <w:r>
        <w:t xml:space="preserve"> </w:t>
      </w:r>
      <w:r>
        <w:t xml:space="preserve">arXiv:1908.02591.</w:t>
      </w:r>
    </w:p>
    <w:bookmarkEnd w:id="140"/>
    <w:bookmarkStart w:id="142" w:name="ref-xu2025counterfactual"/>
    <w:p>
      <w:pPr>
        <w:pStyle w:val="Bibliography"/>
      </w:pPr>
      <w:r>
        <w:t xml:space="preserve">Xu, Zhongyuan. 2025.</w:t>
      </w:r>
      <w:r>
        <w:t xml:space="preserve"> </w:t>
      </w:r>
      <w:r>
        <w:t xml:space="preserve">“Causal Inference in Financial Risk Management: Applications of Counterfactual Analysis in Credit Portfolios.”</w:t>
      </w:r>
      <w:r>
        <w:t xml:space="preserve"> </w:t>
      </w:r>
      <w:r>
        <w:rPr>
          <w:iCs/>
          <w:i/>
        </w:rPr>
        <w:t xml:space="preserve">Financial Engineering and Risk Management</w:t>
      </w:r>
      <w:r>
        <w:t xml:space="preserve"> </w:t>
      </w:r>
      <w:r>
        <w:t xml:space="preserve">8: 6–13.</w:t>
      </w:r>
      <w:r>
        <w:t xml:space="preserve"> </w:t>
      </w:r>
      <w:hyperlink r:id="rId141">
        <w:r>
          <w:rPr>
            <w:rStyle w:val="Hyperlink"/>
          </w:rPr>
          <w:t xml:space="preserve">https://doi.org/10.23977/ferm.2025.080102</w:t>
        </w:r>
      </w:hyperlink>
      <w:r>
        <w:t xml:space="preserve">.</w:t>
      </w:r>
    </w:p>
    <w:bookmarkEnd w:id="142"/>
    <w:bookmarkStart w:id="143" w:name="ref-zhang2026defi"/>
    <w:p>
      <w:pPr>
        <w:pStyle w:val="Bibliography"/>
      </w:pPr>
      <w:r>
        <w:t xml:space="preserve">Zhang, Shiyu, Zining Wang, Jin Zheng, and John Cartlidge. 2026.</w:t>
      </w:r>
      <w:r>
        <w:t xml:space="preserve"> </w:t>
      </w:r>
      <w:r>
        <w:t xml:space="preserve">“Systemic Risk in</w:t>
      </w:r>
      <w:r>
        <w:t xml:space="preserve"> </w:t>
      </w:r>
      <w:r>
        <w:t xml:space="preserve">DeFi</w:t>
      </w:r>
      <w:r>
        <w:t xml:space="preserve">: A Network-Based Fragility Analysis of</w:t>
      </w:r>
      <w:r>
        <w:t xml:space="preserve"> </w:t>
      </w:r>
      <w:r>
        <w:t xml:space="preserve">TVL</w:t>
      </w:r>
      <w:r>
        <w:t xml:space="preserve"> </w:t>
      </w:r>
      <w:r>
        <w:t xml:space="preserve">Dynamics.”</w:t>
      </w:r>
      <w:r>
        <w:t xml:space="preserve"> </w:t>
      </w:r>
      <w:r>
        <w:t xml:space="preserve">arXiv:2601.08540.</w:t>
      </w:r>
    </w:p>
    <w:bookmarkEnd w:id="143"/>
    <w:bookmarkEnd w:id="1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See CoinDesk</w:t>
      </w:r>
      <w:r>
        <w:t xml:space="preserve"> </w:t>
      </w:r>
      <w:r>
        <w:t xml:space="preserve">Research,</w:t>
      </w:r>
      <w:r>
        <w:t xml:space="preserve"> </w:t>
      </w:r>
      <w:hyperlink r:id="rId21">
        <w:r>
          <w:rPr>
            <w:rStyle w:val="Hyperlink"/>
          </w:rPr>
          <w:t xml:space="preserve">https://www.coindesk.com/research/market-spotlight-the-19-billion-liquidation-that-shook-crypto</w:t>
        </w:r>
      </w:hyperlink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df" /><Relationship Type="http://schemas.openxmlformats.org/officeDocument/2006/relationships/image" Id="rId56" Target="media/rId56.pdf" /><Relationship Type="http://schemas.openxmlformats.org/officeDocument/2006/relationships/image" Id="rId53" Target="media/rId53.pdf" /><Relationship Type="http://schemas.openxmlformats.org/officeDocument/2006/relationships/image" Id="rId59" Target="media/rId59.pdf" /><Relationship Type="http://schemas.openxmlformats.org/officeDocument/2006/relationships/image" Id="rId39" Target="media/rId39.pdf" /><Relationship Type="http://schemas.openxmlformats.org/officeDocument/2006/relationships/image" Id="rId36" Target="media/rId36.pdf" /><Relationship Type="http://schemas.openxmlformats.org/officeDocument/2006/relationships/hyperlink" Id="rId71" Target="https://defillama.com" TargetMode="External" /><Relationship Type="http://schemas.openxmlformats.org/officeDocument/2006/relationships/hyperlink" Id="rId85" Target="https://doi.org/10.1016/j.econlet.2018.07.039" TargetMode="External" /><Relationship Type="http://schemas.openxmlformats.org/officeDocument/2006/relationships/hyperlink" Id="rId130" Target="https://doi.org/10.1016/j.irfa.2023.102764" TargetMode="External" /><Relationship Type="http://schemas.openxmlformats.org/officeDocument/2006/relationships/hyperlink" Id="rId96" Target="https://doi.org/10.1016/j.jeconom.2014.04.012" TargetMode="External" /><Relationship Type="http://schemas.openxmlformats.org/officeDocument/2006/relationships/hyperlink" Id="rId98" Target="https://doi.org/10.1016/j.jfi.2013.08.001" TargetMode="External" /><Relationship Type="http://schemas.openxmlformats.org/officeDocument/2006/relationships/hyperlink" Id="rId89" Target="https://doi.org/10.1016/j.jfineco.2011.12.010" TargetMode="External" /><Relationship Type="http://schemas.openxmlformats.org/officeDocument/2006/relationships/hyperlink" Id="rId120" Target="https://doi.org/10.1016/j.jfineco.2019.07.001" TargetMode="External" /><Relationship Type="http://schemas.openxmlformats.org/officeDocument/2006/relationships/hyperlink" Id="rId124" Target="https://doi.org/10.1017/CBO9780511803161" TargetMode="External" /><Relationship Type="http://schemas.openxmlformats.org/officeDocument/2006/relationships/hyperlink" Id="rId81" Target="https://doi.org/10.1093/rfs/hhw088" TargetMode="External" /><Relationship Type="http://schemas.openxmlformats.org/officeDocument/2006/relationships/hyperlink" Id="rId138" Target="https://doi.org/10.1093/rof/rfv028" TargetMode="External" /><Relationship Type="http://schemas.openxmlformats.org/officeDocument/2006/relationships/hyperlink" Id="rId110" Target="https://doi.org/10.1111/jofi.12903" TargetMode="External" /><Relationship Type="http://schemas.openxmlformats.org/officeDocument/2006/relationships/hyperlink" Id="rId93" Target="https://doi.org/10.1111/rssb.12348" TargetMode="External" /><Relationship Type="http://schemas.openxmlformats.org/officeDocument/2006/relationships/hyperlink" Id="rId122" Target="https://doi.org/10.1145/2504730.2504747" TargetMode="External" /><Relationship Type="http://schemas.openxmlformats.org/officeDocument/2006/relationships/hyperlink" Id="rId126" Target="https://doi.org/10.1145/3241036" TargetMode="External" /><Relationship Type="http://schemas.openxmlformats.org/officeDocument/2006/relationships/hyperlink" Id="rId128" Target="https://doi.org/10.1145/3487552.3487811" TargetMode="External" /><Relationship Type="http://schemas.openxmlformats.org/officeDocument/2006/relationships/hyperlink" Id="rId113" Target="https://doi.org/10.1145/3736752" TargetMode="External" /><Relationship Type="http://schemas.openxmlformats.org/officeDocument/2006/relationships/hyperlink" Id="rId83" Target="https://doi.org/10.1257/aer.20120555" TargetMode="External" /><Relationship Type="http://schemas.openxmlformats.org/officeDocument/2006/relationships/hyperlink" Id="rId79" Target="https://doi.org/10.1257/aer.20130456" TargetMode="External" /><Relationship Type="http://schemas.openxmlformats.org/officeDocument/2006/relationships/hyperlink" Id="rId106" Target="https://doi.org/10.1257/jel.20151228" TargetMode="External" /><Relationship Type="http://schemas.openxmlformats.org/officeDocument/2006/relationships/hyperlink" Id="rId100" Target="https://doi.org/10.1287/mnsc.47.2.236.9835" TargetMode="External" /><Relationship Type="http://schemas.openxmlformats.org/officeDocument/2006/relationships/hyperlink" Id="rId134" Target="https://doi.org/10.1515/9781400881970-018" TargetMode="External" /><Relationship Type="http://schemas.openxmlformats.org/officeDocument/2006/relationships/hyperlink" Id="rId108" Target="https://doi.org/10.2307/1912791" TargetMode="External" /><Relationship Type="http://schemas.openxmlformats.org/officeDocument/2006/relationships/hyperlink" Id="rId91" Target="https://doi.org/10.2307/2527341" TargetMode="External" /><Relationship Type="http://schemas.openxmlformats.org/officeDocument/2006/relationships/hyperlink" Id="rId141" Target="https://doi.org/10.23977/ferm.2025.080102" TargetMode="External" /><Relationship Type="http://schemas.openxmlformats.org/officeDocument/2006/relationships/hyperlink" Id="rId118" Target="https://doi.org/10.3386/w31160" TargetMode="External" /><Relationship Type="http://schemas.openxmlformats.org/officeDocument/2006/relationships/hyperlink" Id="rId104" Target="https://doi.org/10.3390/risks6030095" TargetMode="External" /><Relationship Type="http://schemas.openxmlformats.org/officeDocument/2006/relationships/hyperlink" Id="rId115" Target="https://doi.org/10.3905/jod.1995.407942" TargetMode="External" /><Relationship Type="http://schemas.openxmlformats.org/officeDocument/2006/relationships/hyperlink" Id="rId70" Target="https://dune.com" TargetMode="External" /><Relationship Type="http://schemas.openxmlformats.org/officeDocument/2006/relationships/hyperlink" Id="rId72" Target="https://etherscan.io" TargetMode="External" /><Relationship Type="http://schemas.openxmlformats.org/officeDocument/2006/relationships/hyperlink" Id="rId21" Target="https://www.coindesk.com/research/market-spotlight-the-19-billion-liquidation-that-shook-cryp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defillama.com" TargetMode="External" /><Relationship Type="http://schemas.openxmlformats.org/officeDocument/2006/relationships/hyperlink" Id="rId85" Target="https://doi.org/10.1016/j.econlet.2018.07.039" TargetMode="External" /><Relationship Type="http://schemas.openxmlformats.org/officeDocument/2006/relationships/hyperlink" Id="rId130" Target="https://doi.org/10.1016/j.irfa.2023.102764" TargetMode="External" /><Relationship Type="http://schemas.openxmlformats.org/officeDocument/2006/relationships/hyperlink" Id="rId96" Target="https://doi.org/10.1016/j.jeconom.2014.04.012" TargetMode="External" /><Relationship Type="http://schemas.openxmlformats.org/officeDocument/2006/relationships/hyperlink" Id="rId98" Target="https://doi.org/10.1016/j.jfi.2013.08.001" TargetMode="External" /><Relationship Type="http://schemas.openxmlformats.org/officeDocument/2006/relationships/hyperlink" Id="rId89" Target="https://doi.org/10.1016/j.jfineco.2011.12.010" TargetMode="External" /><Relationship Type="http://schemas.openxmlformats.org/officeDocument/2006/relationships/hyperlink" Id="rId120" Target="https://doi.org/10.1016/j.jfineco.2019.07.001" TargetMode="External" /><Relationship Type="http://schemas.openxmlformats.org/officeDocument/2006/relationships/hyperlink" Id="rId124" Target="https://doi.org/10.1017/CBO9780511803161" TargetMode="External" /><Relationship Type="http://schemas.openxmlformats.org/officeDocument/2006/relationships/hyperlink" Id="rId81" Target="https://doi.org/10.1093/rfs/hhw088" TargetMode="External" /><Relationship Type="http://schemas.openxmlformats.org/officeDocument/2006/relationships/hyperlink" Id="rId138" Target="https://doi.org/10.1093/rof/rfv028" TargetMode="External" /><Relationship Type="http://schemas.openxmlformats.org/officeDocument/2006/relationships/hyperlink" Id="rId110" Target="https://doi.org/10.1111/jofi.12903" TargetMode="External" /><Relationship Type="http://schemas.openxmlformats.org/officeDocument/2006/relationships/hyperlink" Id="rId93" Target="https://doi.org/10.1111/rssb.12348" TargetMode="External" /><Relationship Type="http://schemas.openxmlformats.org/officeDocument/2006/relationships/hyperlink" Id="rId122" Target="https://doi.org/10.1145/2504730.2504747" TargetMode="External" /><Relationship Type="http://schemas.openxmlformats.org/officeDocument/2006/relationships/hyperlink" Id="rId126" Target="https://doi.org/10.1145/3241036" TargetMode="External" /><Relationship Type="http://schemas.openxmlformats.org/officeDocument/2006/relationships/hyperlink" Id="rId128" Target="https://doi.org/10.1145/3487552.3487811" TargetMode="External" /><Relationship Type="http://schemas.openxmlformats.org/officeDocument/2006/relationships/hyperlink" Id="rId113" Target="https://doi.org/10.1145/3736752" TargetMode="External" /><Relationship Type="http://schemas.openxmlformats.org/officeDocument/2006/relationships/hyperlink" Id="rId83" Target="https://doi.org/10.1257/aer.20120555" TargetMode="External" /><Relationship Type="http://schemas.openxmlformats.org/officeDocument/2006/relationships/hyperlink" Id="rId79" Target="https://doi.org/10.1257/aer.20130456" TargetMode="External" /><Relationship Type="http://schemas.openxmlformats.org/officeDocument/2006/relationships/hyperlink" Id="rId106" Target="https://doi.org/10.1257/jel.20151228" TargetMode="External" /><Relationship Type="http://schemas.openxmlformats.org/officeDocument/2006/relationships/hyperlink" Id="rId100" Target="https://doi.org/10.1287/mnsc.47.2.236.9835" TargetMode="External" /><Relationship Type="http://schemas.openxmlformats.org/officeDocument/2006/relationships/hyperlink" Id="rId134" Target="https://doi.org/10.1515/9781400881970-018" TargetMode="External" /><Relationship Type="http://schemas.openxmlformats.org/officeDocument/2006/relationships/hyperlink" Id="rId108" Target="https://doi.org/10.2307/1912791" TargetMode="External" /><Relationship Type="http://schemas.openxmlformats.org/officeDocument/2006/relationships/hyperlink" Id="rId91" Target="https://doi.org/10.2307/2527341" TargetMode="External" /><Relationship Type="http://schemas.openxmlformats.org/officeDocument/2006/relationships/hyperlink" Id="rId141" Target="https://doi.org/10.23977/ferm.2025.080102" TargetMode="External" /><Relationship Type="http://schemas.openxmlformats.org/officeDocument/2006/relationships/hyperlink" Id="rId118" Target="https://doi.org/10.3386/w31160" TargetMode="External" /><Relationship Type="http://schemas.openxmlformats.org/officeDocument/2006/relationships/hyperlink" Id="rId104" Target="https://doi.org/10.3390/risks6030095" TargetMode="External" /><Relationship Type="http://schemas.openxmlformats.org/officeDocument/2006/relationships/hyperlink" Id="rId115" Target="https://doi.org/10.3905/jod.1995.407942" TargetMode="External" /><Relationship Type="http://schemas.openxmlformats.org/officeDocument/2006/relationships/hyperlink" Id="rId70" Target="https://dune.com" TargetMode="External" /><Relationship Type="http://schemas.openxmlformats.org/officeDocument/2006/relationships/hyperlink" Id="rId72" Target="https://etherscan.io" TargetMode="External" /><Relationship Type="http://schemas.openxmlformats.org/officeDocument/2006/relationships/hyperlink" Id="rId21" Target="https://www.coindesk.com/research/market-spotlight-the-19-billion-liquidation-that-shook-cryp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Counterfactual Attribution of Crypto Systemic Stress on an Auditable On-Chain Graph</dc:title>
  <dc:creator>Anonymous</dc:creator>
  <cp:keywords/>
  <dcterms:created xsi:type="dcterms:W3CDTF">2026-10-12T04:10:33Z</dcterms:created>
  <dcterms:modified xsi:type="dcterms:W3CDTF">2026-10-12T04:10:33Z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</Properties>
</file>