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Grouped model averaging learns forecast weights from commitment cost, not accuracy.</w:t>
      </w:r>
    </w:p>
    <w:p>
      <w:pPr>
        <w:pStyle w:val="ListBullet"/>
      </w:pPr>
      <w:r>
        <w:t>Soft GDMA cuts day-ahead commitment cost by 12% on 125 grid areas, five continents.</w:t>
      </w:r>
    </w:p>
    <w:p>
      <w:pPr>
        <w:pStyle w:val="ListBullet"/>
      </w:pPr>
      <w:r>
        <w:t>Oracle inequality and segment recovery proved for the fixed-G estimator.</w:t>
      </w:r>
    </w:p>
    <w:p>
      <w:pPr>
        <w:pStyle w:val="ListBullet"/>
      </w:pPr>
      <w:r>
        <w:t>6% of areas are worse off; no systematic income gradient is found.</w:t>
      </w:r>
    </w:p>
    <w:p>
      <w:pPr>
        <w:pStyle w:val="ListBullet"/>
      </w:pPr>
      <w:r>
        <w:t>Better commitment rules lower the value of storage and change where to site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