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explains Thailand’s gate better than we expected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Thailand, Vietnam, Malaysia and the Philippines have each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because more than half of private research spending goes to mature industries. They attribute this to incentives delivered through indirect tax credits, which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is a claim about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H2 and H3 can generate similar outcomes and differ mainly in origin, so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that laissez-faire yields too little investment in new activities. We apply this to compute supply, as our own proposition and not a result they report.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[AUTHORS TO COMPLETE: reason for excluding Indonesia, which belongs to the ASEAN Four in Ke (2024); a reader will ask whether it was dropped because it did not fit (Seawright and Gerring, 2008).]</w:t>
      </w:r>
    </w:p>
    <w:p>
      <w:pPr>
        <w:pStyle w:val="BodyText"/>
      </w:pPr>
      <w:r>
        <w:t xml:space="preserve">Thailand is the primary case because it alone publishes approval statistics by sub-activity and ownership, so rules can be compared with outcomes. The other three are shadow cases coded from legal texts. Four purposively chosen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eight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All rows were coded and checked against the primary texts by one author. [AUTHORS TO COMPLETE: a second coder re-coded all 29 instruments blind to the first; report percentage agreement, Cohen’s (1960) kappa per dimension and disagreements resolved.] The Vietnamese texts were read through a commercial legal database, not the official gazette. The Thai originals, the Vietnamese implementing circulars and the SIPP qualification guidelines have not been 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[CITATION: vendor specification]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and pre-AI sector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and development on technologies listed by the Prime Minister, and includes state funding of tasks up to 100 per cent, duty exemption, cost deductions and interest support through the National Technology Innovation Fund. The research-centre track demands 60 per cent of workers in research and development, which restricts it to purpose-built institutions. The startup track requires research on listed technology and either average revenue growth of at least 20 per cent over two years or a commercialisation-ready solution, and offers fee exemptions, controlled testing and priority for venture-fund equity (Article 11). It is the clearest explicit accommodation for new firms in our data, and most of it is direct support.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is moving incentives towards outcome-based tiers, but existing packages including DESAC remain available until their windows expire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Group 1 listed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On</w:t>
      </w:r>
      <w:r>
        <w:t xml:space="preserve"> </w:t>
      </w:r>
      <w:r>
        <w:rPr>
          <w:bCs/>
          <w:b/>
        </w:rPr>
        <w:t xml:space="preserve">layer</w:t>
      </w:r>
      <w:r>
        <w:t xml:space="preserve">, Thailand screens at the infrastructure activity, Malaysia runs two tracks, Vietnam has no capital screen, and the Philippines tiers activities under one boundary. On</w:t>
      </w:r>
      <w:r>
        <w:t xml:space="preserve"> </w:t>
      </w:r>
      <w:r>
        <w:rPr>
          <w:bCs/>
          <w:b/>
        </w:rPr>
        <w:t xml:space="preserve">scale</w:t>
      </w:r>
      <w:r>
        <w:t xml:space="preserve">, entry thresholds at layer (i) are low or absent, and at the compute layers the figures have three bases (company capital, project scale, cumulative spending), so we read them as orders of magnitude. On</w:t>
      </w:r>
      <w:r>
        <w:t xml:space="preserve"> </w:t>
      </w:r>
      <w:r>
        <w:rPr>
          <w:bCs/>
          <w:b/>
        </w:rPr>
        <w:t xml:space="preserve">vintage</w:t>
      </w:r>
      <w:r>
        <w:t xml:space="preserve">, only Vietnam has an explicit startup track, Thailand’s deepest tier presupposes sales, and the Philippine escalation tier presupposes scale. On</w:t>
      </w:r>
      <w:r>
        <w:t xml:space="preserve"> </w:t>
      </w:r>
      <w:r>
        <w:rPr>
          <w:bCs/>
          <w:b/>
        </w:rPr>
        <w:t xml:space="preserve">delivery</w:t>
      </w:r>
      <w:r>
        <w:t xml:space="preserve">, three countries use tax-based instruments that presuppose profit, and Vietnam adds direct support.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In the two countries with a low-capital cloud route,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in both countries.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come from vendor, reseller and trade sources and are indicative.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Southeast Asian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E1</w:t>
            </w:r>
          </w:p>
        </w:tc>
        <w:tc>
          <w:tcPr/>
          <w:p>
            <w:pPr>
              <w:pStyle w:val="Compact"/>
              <w:jc w:val="left"/>
            </w:pPr>
            <w:r>
              <w:rPr>
                <w:sz w:val="17"/>
              </w:rPr>
              <w:t xml:space="preserve">Software threshold far below GPU-hosting capital condition (Thailand)</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None, weak</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and Malaysia is no longer a counter-example.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We find that Thailand’s deepest tier presupposes sales and that three of four countries deliver the accessible tier through indirect instruments, while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generic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Thailand’s research tier and Malaysia’s audited declaration are examples. Verification in proportion to firm size could lower the fixed cost, if the audit cost proves material.</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coding was done and checked by one author against English or database texts, the amendment check is incomplete, and the Thai originals, Vietnamese circulars and SIPP guidelines are unread, so findings that depend on a threshold or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vouchers and sovereign initiatives may fill part of the gap. Sixth, only Thailand publishes approval data by sub-activity and ownership, and its gradient rests on three points. Seventh, four purposively selected cases and ordinal ratings cannot separate H2 from H3 or establish causation. Finally, the target is moving: Vietnam’s AI regulation is developing and Malaysia is phasing in a New Incentive Framework.</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explains Thailand’s gate better than we expected,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acknowledgments"/>
    <w:p>
      <w:pPr>
        <w:pStyle w:val="Heading2"/>
      </w:pPr>
      <w:r>
        <w:t xml:space="preserve">Acknowledgments</w:t>
      </w:r>
    </w:p>
    <w:p>
      <w:pPr>
        <w:pStyle w:val="FirstParagraph"/>
      </w:pPr>
      <w:r>
        <w:t xml:space="preserve">[AUTHORS TO COMPLETE.]</w:t>
      </w:r>
    </w:p>
    <w:bookmarkEnd w:id="48"/>
    <w:bookmarkStart w:id="49" w:name="declaration-of-interest-statement"/>
    <w:p>
      <w:pPr>
        <w:pStyle w:val="Heading2"/>
      </w:pPr>
      <w:r>
        <w:t xml:space="preserve">Declaration of interest statement</w:t>
      </w:r>
    </w:p>
    <w:p>
      <w:pPr>
        <w:pStyle w:val="FirstParagraph"/>
      </w:pPr>
      <w:r>
        <w:t xml:space="preserve">[AUTHORS TO COMPLETE: the authors report no conflict of interest, or state any.]</w:t>
      </w:r>
    </w:p>
    <w:bookmarkEnd w:id="49"/>
    <w:bookmarkStart w:id="50" w:name="funding"/>
    <w:p>
      <w:pPr>
        <w:pStyle w:val="Heading2"/>
      </w:pPr>
      <w:r>
        <w:t xml:space="preserve">Funding</w:t>
      </w:r>
    </w:p>
    <w:p>
      <w:pPr>
        <w:pStyle w:val="FirstParagraph"/>
      </w:pPr>
      <w:r>
        <w:t xml:space="preserve">[AUTHORS TO COMPLETE: funding details, or</w:t>
      </w:r>
      <w:r>
        <w:t xml:space="preserve"> </w:t>
      </w:r>
      <w:r>
        <w:t xml:space="preserve">“</w:t>
      </w:r>
      <w:r>
        <w:t xml:space="preserve">No funding was obtained for the reported work.</w:t>
      </w:r>
      <w:r>
        <w:t xml:space="preserve">”</w:t>
      </w:r>
      <w:r>
        <w:t xml:space="preserve">]</w:t>
      </w:r>
    </w:p>
    <w:bookmarkEnd w:id="50"/>
    <w:bookmarkStart w:id="51" w:name="declaration-of-generative-ai-use"/>
    <w:p>
      <w:pPr>
        <w:pStyle w:val="Heading2"/>
      </w:pPr>
      <w:r>
        <w:t xml:space="preserve">Declaration of generative AI use</w:t>
      </w:r>
    </w:p>
    <w:p>
      <w:pPr>
        <w:pStyle w:val="FirstParagraph"/>
      </w:pPr>
      <w:r>
        <w:t xml:space="preserve">The authors used generative AI to polish the writing of this manuscript. The authors reviewed and edited the text and take full responsibility for the content.</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2026-10-09T04:19:33Z</dcterms:created>
  <dcterms:modified xsi:type="dcterms:W3CDTF">2026-10-09T04:19:33Z</dcterms:modified>
</cp:coreProperties>
</file>

<file path=docProps/custom.xml><?xml version="1.0" encoding="utf-8"?>
<Properties xmlns="http://schemas.openxmlformats.org/officeDocument/2006/custom-properties" xmlns:vt="http://schemas.openxmlformats.org/officeDocument/2006/docPropsVTypes"/>
</file>