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t xml:space="preserve">Where</w:t>
      </w:r>
      <w:r>
        <w:t xml:space="preserve"> </w:t>
      </w:r>
      <w:r>
        <w:t xml:space="preserve">the</w:t>
      </w:r>
      <w:r>
        <w:t xml:space="preserve"> </w:t>
      </w:r>
      <w:r>
        <w:t xml:space="preserve">Screen</w:t>
      </w:r>
      <w:r>
        <w:t xml:space="preserve"> </w:t>
      </w:r>
      <w:r>
        <w:t xml:space="preserve">Falls:</w:t>
      </w:r>
      <w:r>
        <w:t xml:space="preserve"> </w:t>
      </w:r>
      <w:r>
        <w:t xml:space="preserve">Investment</w:t>
      </w:r>
      <w:r>
        <w:t xml:space="preserve"> </w:t>
      </w:r>
      <w:r>
        <w:t xml:space="preserve">Incentives</w:t>
      </w:r>
      <w:r>
        <w:t xml:space="preserve"> </w:t>
      </w:r>
      <w:r>
        <w:t xml:space="preserve">and</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bookmarkStart w:id="20" w:name="abstract"/>
    <w:p>
      <w:pPr>
        <w:pStyle w:val="Heading2"/>
        <w:spacing w:line="480" w:lineRule="auto"/>
      </w:pPr>
      <w:r>
        <w:t xml:space="preserve">Abstract</w:t>
      </w:r>
    </w:p>
    <w:p>
      <w:pPr>
        <w:pStyle w:val="FirstParagraph"/>
        <w:spacing w:line="480" w:lineRule="auto"/>
        <w:jc w:val="left"/>
      </w:pPr>
      <w:r>
        <w:t xml:space="preserve">Governments in four Southeast Asian economies compete for artificial intelligence (AI) investment, but their incentive rules decide which firms, foreign or domestic, can enter. We code 29 instruments from primary legal texts in Malaysia, the Philippines, Thailand and Vietnam and compare capital thresholds with the cost of hosting compute. Application-layer support is open to small firms. At the compute layers, capital and capacity gates sit near facility scale, and fixed compliance costs screen the small cloud providers that can enter. No instrument targets smaller providers. Governments should audit eligibility and publish take-up data by ownership and firm size.</w:t>
      </w:r>
    </w:p>
    <w:p>
      <w:pPr>
        <w:pStyle w:val="BodyText"/>
        <w:spacing w:line="480" w:lineRule="auto"/>
        <w:jc w:val="left"/>
      </w:pPr>
      <w:r>
        <w:rPr>
          <w:bCs/>
          <w:b/>
        </w:rPr>
        <w:t xml:space="preserve">Keywords:</w:t>
      </w:r>
      <w:r>
        <w:t xml:space="preserve"> </w:t>
      </w:r>
      <w:r>
        <w:t xml:space="preserve">Investment Incentives; FDI Policy; Industrial Policy; Technology and Innovation; artificial intelligence; Southeast Asia</w:t>
      </w:r>
    </w:p>
    <w:p>
      <w:pPr>
        <w:spacing w:line="480" w:lineRule="auto"/>
        <w:jc w:val="left"/>
      </w:pPr>
      <w:r>
        <w:br w:type="page"/>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spacing w:line="480" w:lineRule="auto"/>
        <w:jc w:val="left"/>
      </w:pPr>
      <w:r>
        <w:t xml:space="preserve">Investment incentives are the main tool host governments use to attract foreign investors, and AI infrastructure is a prime target. Cloud and data-centre capacity is built largely by a few global operators (Lehdonvirta et al., 2025), so the rules of an incentive scheme decide whether domestic firms can take part alongside them or are left to buy from them. This is a question of international business policy: how a host country’s incentives shape the entry of foreign and domestic firms into a strategic industry.</w:t>
      </w:r>
    </w:p>
    <w:p>
      <w:pPr>
        <w:pStyle w:val="BodyText"/>
        <w:spacing w:line="480" w:lineRule="auto"/>
        <w:jc w:val="left"/>
      </w:pPr>
      <w:r>
        <w:t xml:space="preserve">Governments in the region have taken up the question. Vietnam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US$140 million, admits some firms and excludes others. The literature we review studies aggregate spending, access scenarios and the geography of compute. We found no instrument-level study of eligibility across the AI stack in these economies.</w:t>
      </w:r>
    </w:p>
    <w:p>
      <w:pPr>
        <w:pStyle w:val="BodyText"/>
        <w:spacing w:line="480" w:lineRule="auto"/>
        <w:jc w:val="left"/>
      </w:pPr>
      <w:r>
        <w:t xml:space="preserve">This paper studies who can qualify. Its questions are:</w:t>
      </w:r>
    </w:p>
    <w:p>
      <w:pPr>
        <w:numPr>
          <w:ilvl w:val="0"/>
          <w:numId w:val="1001"/>
        </w:numPr>
        <w:pStyle w:val="Compact"/>
        <w:spacing w:line="480" w:lineRule="auto"/>
        <w:jc w:val="left"/>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spacing w:line="480" w:lineRule="auto"/>
        <w:jc w:val="lef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spacing w:line="480" w:lineRule="auto"/>
        <w:jc w:val="left"/>
      </w:pPr>
      <w:r>
        <w:rPr>
          <w:bCs/>
          <w:b/>
        </w:rPr>
        <w:t xml:space="preserve">RQ3.</w:t>
      </w:r>
      <w:r>
        <w:t xml:space="preserve"> </w:t>
      </w:r>
      <w:r>
        <w:t xml:space="preserve">Is the pattern better explained by cost necessity, scale-favouring design or administrative habit?</w:t>
      </w:r>
    </w:p>
    <w:p>
      <w:pPr>
        <w:pStyle w:val="FirstParagraph"/>
        <w:spacing w:line="480" w:lineRule="auto"/>
        <w:jc w:val="left"/>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1"/>
    <w:bookmarkStart w:id="26" w:name="framework-and-hypotheses"/>
    <w:p>
      <w:pPr>
        <w:pStyle w:val="Heading2"/>
        <w:spacing w:line="480" w:lineRule="auto"/>
      </w:pPr>
      <w:r>
        <w:t xml:space="preserve">2. Framework and hypotheses</w:t>
      </w:r>
    </w:p>
    <w:bookmarkStart w:id="22" w:name="Xfd11363327260168d9eeb647c78a271061b75d2"/>
    <w:p>
      <w:pPr>
        <w:pStyle w:val="Heading3"/>
        <w:spacing w:line="480" w:lineRule="auto"/>
      </w:pPr>
      <w:r>
        <w:t xml:space="preserve">2.1 Middle-income Trap and Middle-technology Trap</w:t>
      </w:r>
    </w:p>
    <w:p>
      <w:pPr>
        <w:pStyle w:val="FirstParagraph"/>
        <w:spacing w:line="480" w:lineRule="auto"/>
        <w:jc w:val="left"/>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spacing w:line="480" w:lineRule="auto"/>
        <w:jc w:val="left"/>
      </w:pPr>
      <w:r>
        <w:t xml:space="preserve">The middle-technology trap concerns the technological composition of an economy and has two lineages. Ke (2024), with Zheng (2024), covers Malaysia, Thailand, Indonesia and the Philippines and attributes stagnation to FDI-led industrialisation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spacing w:line="480" w:lineRule="auto"/>
        <w:jc w:val="left"/>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5.2).</w:t>
      </w:r>
    </w:p>
    <w:p>
      <w:pPr>
        <w:pStyle w:val="BodyText"/>
        <w:spacing w:line="480" w:lineRule="auto"/>
        <w:jc w:val="left"/>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2"/>
    <w:bookmarkStart w:id="23" w:name="ai-and-the-gap-in-the-literature"/>
    <w:p>
      <w:pPr>
        <w:pStyle w:val="Heading3"/>
        <w:spacing w:line="480" w:lineRule="auto"/>
      </w:pPr>
      <w:r>
        <w:t xml:space="preserve">2.2 AI and the Gap in the Literature</w:t>
      </w:r>
    </w:p>
    <w:p>
      <w:pPr>
        <w:pStyle w:val="FirstParagraph"/>
        <w:spacing w:line="480" w:lineRule="auto"/>
        <w:jc w:val="left"/>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spacing w:line="480" w:lineRule="auto"/>
        <w:jc w:val="left"/>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3"/>
    <w:bookmarkStart w:id="24" w:name="X9e751d88a551308dbb1134b7b8f76dfc750de27"/>
    <w:p>
      <w:pPr>
        <w:pStyle w:val="Heading3"/>
        <w:spacing w:line="480" w:lineRule="auto"/>
      </w:pPr>
      <w:r>
        <w:t xml:space="preserve">2.3 The Stack and Three Dimensions of Accessibility</w:t>
      </w:r>
    </w:p>
    <w:p>
      <w:pPr>
        <w:pStyle w:val="FirstParagraph"/>
        <w:spacing w:line="480" w:lineRule="auto"/>
        <w:jc w:val="left"/>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spacing w:line="480" w:lineRule="auto"/>
        <w:jc w:val="left"/>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4"/>
    <w:bookmarkStart w:id="25" w:name="three-explanations-and-one-assumption"/>
    <w:p>
      <w:pPr>
        <w:pStyle w:val="Heading3"/>
        <w:spacing w:line="480" w:lineRule="auto"/>
      </w:pPr>
      <w:r>
        <w:t xml:space="preserve">2.4 Three Explanations and One Assumption</w:t>
      </w:r>
    </w:p>
    <w:p>
      <w:pPr>
        <w:pStyle w:val="FirstParagraph"/>
        <w:spacing w:line="480" w:lineRule="auto"/>
        <w:jc w:val="left"/>
      </w:pPr>
      <w:r>
        <w:t xml:space="preserve">Each hypothesis concerns one country’s AI-related incentive design.</w:t>
      </w:r>
    </w:p>
    <w:p>
      <w:pPr>
        <w:numPr>
          <w:ilvl w:val="0"/>
          <w:numId w:val="1002"/>
        </w:numPr>
        <w:pStyle w:val="Compact"/>
        <w:spacing w:line="480" w:lineRule="auto"/>
        <w:jc w:val="left"/>
      </w:pPr>
      <w:r>
        <w:rPr>
          <w:bCs/>
          <w:b/>
        </w:rPr>
        <w:t xml:space="preserve">Hypothesis 1 (H1),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spacing w:line="480" w:lineRule="auto"/>
        <w:jc w:val="left"/>
      </w:pPr>
      <w:r>
        <w:rPr>
          <w:bCs/>
          <w:b/>
        </w:rPr>
        <w:t xml:space="preserve">Hypothesis 2 (H2),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spacing w:line="480" w:lineRule="auto"/>
        <w:jc w:val="left"/>
      </w:pPr>
      <w:r>
        <w:rPr>
          <w:bCs/>
          <w:b/>
        </w:rPr>
        <w:t xml:space="preserve">Hypothesis 3 (H3),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spacing w:line="480" w:lineRule="auto"/>
        <w:jc w:val="left"/>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spacing w:line="480" w:lineRule="auto"/>
        <w:jc w:val="left"/>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3.3) shows a small provider eligible, if viability evidence shows A1 false, or if domestic sub-facility providers operate without incentives.</w:t>
      </w:r>
    </w:p>
    <w:bookmarkEnd w:id="25"/>
    <w:bookmarkEnd w:id="26"/>
    <w:bookmarkStart w:id="30" w:name="research-design"/>
    <w:p>
      <w:pPr>
        <w:pStyle w:val="Heading2"/>
        <w:spacing w:line="480" w:lineRule="auto"/>
      </w:pPr>
      <w:r>
        <w:t xml:space="preserve">3. Research design</w:t>
      </w:r>
    </w:p>
    <w:bookmarkStart w:id="27" w:name="scope-and-case-selection"/>
    <w:p>
      <w:pPr>
        <w:pStyle w:val="Heading3"/>
        <w:spacing w:line="480" w:lineRule="auto"/>
      </w:pPr>
      <w:r>
        <w:t xml:space="preserve">3.1 Scope and Case Selection</w:t>
      </w:r>
    </w:p>
    <w:p>
      <w:pPr>
        <w:pStyle w:val="FirstParagraph"/>
        <w:spacing w:line="480" w:lineRule="auto"/>
        <w:jc w:val="left"/>
      </w:pPr>
      <w:r>
        <w:t xml:space="preserve">The paper studies</w:t>
      </w:r>
      <w:r>
        <w:t xml:space="preserve"> </w:t>
      </w:r>
      <w:r>
        <w:rPr>
          <w:iCs/>
          <w:i/>
        </w:rPr>
        <w:t xml:space="preserve">legal eligibility</w:t>
      </w:r>
      <w:r>
        <w:t xml:space="preserve">: who may qualify under the rules as written. It does not observe realised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spacing w:line="480" w:lineRule="auto"/>
        <w:jc w:val="left"/>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7"/>
    <w:bookmarkStart w:id="28" w:name="coding-sources-and-the-common-scale"/>
    <w:p>
      <w:pPr>
        <w:pStyle w:val="Heading3"/>
        <w:spacing w:line="480" w:lineRule="auto"/>
      </w:pPr>
      <w:r>
        <w:t xml:space="preserve">3.2 Coding, Sources and the Common Scale</w:t>
      </w:r>
    </w:p>
    <w:p>
      <w:pPr>
        <w:pStyle w:val="FirstParagraph"/>
        <w:spacing w:line="480" w:lineRule="auto"/>
        <w:jc w:val="left"/>
      </w:pPr>
      <w:r>
        <w:t xml:space="preserve">We code primary legal texts, not strategy documents or commentary: Thailand’s Board of Investment (BOI) Investment Promotion Guide 2026 and announcements; Vietnam’s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spacing w:line="480" w:lineRule="auto"/>
        <w:jc w:val="left"/>
      </w:pPr>
      <w:r>
        <w:t xml:space="preserve">One author coded all rows and checked them against the primary texts. A separate instance of a generative AI model then coded all 29 instruments blind, from the codebook and texts alone. Agreement before adjudication was 69 per cent on layer (Cohen’s, 1960, kappa 0.60), 83 per cent on delivery (0.73) and 76 per cent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spacing w:line="480" w:lineRule="auto"/>
        <w:jc w:val="left"/>
      </w:pPr>
      <w:r>
        <w:rPr>
          <w:bCs/>
          <w:b/>
        </w:rPr>
        <w:t xml:space="preserve">Common scale.</w:t>
      </w:r>
      <w:r>
        <w:t xml:space="preserve"> </w:t>
      </w:r>
      <w:r>
        <w:t xml:space="preserve">Thresholds have different bases and currencies. We convert each capital figure to US dollars (at approximate October 2026 rates of 35.7 baht, 4.55 ringgit and 57.7 pesos to the dollar) and then to the capacity it would host, using two benchmarks: US$10.7 million per megawatt of construction (Turner and Townsend, 2025) and US$38 million per megawatt of fully equipped AI capacity (Epoch AI, 2026). We take one eight-accelerator server of about 12 kW, a planning figure above the 10.2 kW maximum NVIDIA lists for its DGX H100 (NVIDIA, n.d.), as the lower bound of provision, which needs US$0.13 million to US$0.46 million of capital to host, and the viable fleet found by the benchmark of Section 5.1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8"/>
    <w:bookmarkStart w:id="29" w:name="Xbc00d08576d50570c45415fec55fba5d0f80e15"/>
    <w:p>
      <w:pPr>
        <w:pStyle w:val="Heading3"/>
        <w:spacing w:line="480" w:lineRule="auto"/>
      </w:pPr>
      <w:r>
        <w:t xml:space="preserve">3.3 Hypothetical Firms and the Rating of Evidence</w:t>
      </w:r>
    </w:p>
    <w:p>
      <w:pPr>
        <w:pStyle w:val="FirstParagraph"/>
        <w:spacing w:line="480" w:lineRule="auto"/>
        <w:jc w:val="left"/>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spacing w:line="480" w:lineRule="auto"/>
        <w:jc w:val="left"/>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29"/>
    <w:bookmarkEnd w:id="30"/>
    <w:bookmarkStart w:id="36" w:name="findings"/>
    <w:p>
      <w:pPr>
        <w:pStyle w:val="Heading2"/>
        <w:spacing w:line="480" w:lineRule="auto"/>
      </w:pPr>
      <w:r>
        <w:t xml:space="preserve">4. Findings</w:t>
      </w:r>
    </w:p>
    <w:bookmarkStart w:id="31" w:name="thailand"/>
    <w:p>
      <w:pPr>
        <w:pStyle w:val="Heading3"/>
        <w:spacing w:line="480" w:lineRule="auto"/>
      </w:pPr>
      <w:r>
        <w:t xml:space="preserve">4.1 Thailand</w:t>
      </w:r>
    </w:p>
    <w:p>
      <w:pPr>
        <w:pStyle w:val="FirstParagraph"/>
        <w:spacing w:line="480" w:lineRule="auto"/>
        <w:jc w:val="left"/>
      </w:pPr>
      <w:r>
        <w:t xml:space="preserve">Thailand’s BOI administers AI-relevant incentives through its digital division. Software and digital-content development (Activity 8.1.1) receives an eight-year corporate income tax exemption, capped each year at 100 per cent of qualifying expenditure, on an investment condition of at least THB 1.5 million a year (about US$42,000)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THB 5,000 million (about US$140 million) excluding land. The activity closest to training or serving AI models therefore carries the highest capital condition, while general cloud carries certification and location conditions in its place. In January 2025 BOI promoted a THB 3.25 billion (about US$91 million) project of Siam AI, a Thai company that operates GPU clusters, as cloud services and not as data hosting (Board of Investment of Thailand, 2025). At least one GPU-based provider has therefore used the cloud route without meeting the THB 5,000 million condition, although how BOI would class a smaller one is untested. A cross-sectoral competitiveness measure extends the exemption to at most 13 years where spending reaches 1 per cent of sales (or THB 200 million, if lower) in the first three years. It is proportional to sales but presupposes them, and is a generic template.</w:t>
      </w:r>
    </w:p>
    <w:p>
      <w:pPr>
        <w:pStyle w:val="BodyText"/>
        <w:spacing w:line="480" w:lineRule="auto"/>
        <w:jc w:val="left"/>
      </w:pPr>
      <w:r>
        <w:t xml:space="preserve">In 2025, 96 approved projects under Activity 8.1.1 carried combined investment of THB 933 million, an average of about THB 9.7 million, while 24 data-centre projects under 8.2.1 carried THB 458,000 million, about US$534 million each (Board of Investment of Thailand, 2026b). A single data-hosting project under 8.2.4 carried THB 126,793 million. Thai-held shares of registered capital fall with depth: 46 per cent in software, 15 per cent in data centres and none in the data-hosting project. This describes capital in approved projects, rests on three points, and does not show that Thai firms were excluded, since a cost-based account also predicts it.</w:t>
      </w:r>
    </w:p>
    <w:bookmarkEnd w:id="31"/>
    <w:bookmarkStart w:id="32" w:name="vietnam"/>
    <w:p>
      <w:pPr>
        <w:pStyle w:val="Heading3"/>
        <w:spacing w:line="480" w:lineRule="auto"/>
      </w:pPr>
      <w:r>
        <w:t xml:space="preserve">4.2 Vietnam</w:t>
      </w:r>
    </w:p>
    <w:p>
      <w:pPr>
        <w:pStyle w:val="FirstParagraph"/>
        <w:spacing w:line="480" w:lineRule="auto"/>
        <w:jc w:val="left"/>
      </w:pPr>
      <w:r>
        <w:t xml:space="preserve">Decree 260/2026, in force from 1 July 2026, implements the Law on High Technology (Vietnam, 2026a). Support attaches to research on technologies listed by the Prime Minister, and includes state funding of tasks up to 100 per cent, duty exemption, cost deductions and interest support. The research-centre track demands 60 per cent of workers in research and development, which restricts it to purpose-built institutions. The startup track requires research on listed technology and either revenue growth of at least 20 per cent a year over two years or a commercialisation-ready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spacing w:line="480" w:lineRule="auto"/>
        <w:jc w:val="left"/>
      </w:pPr>
      <w:r>
        <w:t xml:space="preserve">Decision 21/2026, in force from 1 July 2026, lists ten strategic technologies and thirty strategic products in two unranked groups (Vietnam, 2026b). Group 1 includes Vietnamese-language large language models, virtual assistants and specialised AI, edge-processing AI cameras, digital-twin platforms and cloud-computing platforms. Group 2 includes specialised chips. The Decision attaches no benefit to either group. Benefits run through Decree 260, where a strategic-technology enterprise must earn at least 80 per cent of net revenue from strategic products, spend at least 1 per cent of net revenue less inputs on research and development, hold at least 10 per cent of staff in research and development and reach 40 per cent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Vietnam’s coded instruments contain no capital screen at any layer, and designation is not blocked access.</w:t>
      </w:r>
    </w:p>
    <w:bookmarkEnd w:id="32"/>
    <w:bookmarkStart w:id="33" w:name="malaysia"/>
    <w:p>
      <w:pPr>
        <w:pStyle w:val="Heading3"/>
        <w:spacing w:line="480" w:lineRule="auto"/>
      </w:pPr>
      <w:r>
        <w:t xml:space="preserve">4.3 Malaysia</w:t>
      </w:r>
    </w:p>
    <w:p>
      <w:pPr>
        <w:pStyle w:val="FirstParagraph"/>
        <w:spacing w:line="480" w:lineRule="auto"/>
        <w:jc w:val="left"/>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US$11,000),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utilising cloud</w:t>
      </w:r>
      <w:r>
        <w:t xml:space="preserve">”</w:t>
      </w:r>
      <w:r>
        <w:t xml:space="preserve"> </w:t>
      </w:r>
      <w:r>
        <w:t xml:space="preserve">is an MD activity, a small compute provider could in principle apply. We have not confirmed that MDEC accepts resale of capacity as an MD activity.</w:t>
      </w:r>
    </w:p>
    <w:p>
      <w:pPr>
        <w:pStyle w:val="BodyText"/>
        <w:spacing w:line="480" w:lineRule="auto"/>
        <w:jc w:val="left"/>
      </w:pPr>
      <w:r>
        <w:t xml:space="preserve">The DESAC scheme serves data-centre and cloud operators (Malaysian Investment Development Authority, 2024). It offers an investment tax allowance of 100 or 60 per cent on qualifying capital expenditure excluding land, or a special tax rate. Both tiers need paid-up capital of RM2.5 million (about US$550,000), which measures company capital, not project scale, and the ten-year option requires cumulative capital expenditure of RM1 billion (about US$220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3"/>
    <w:bookmarkStart w:id="34" w:name="the-philippines"/>
    <w:p>
      <w:pPr>
        <w:pStyle w:val="Heading3"/>
        <w:spacing w:line="480" w:lineRule="auto"/>
      </w:pPr>
      <w:r>
        <w:t xml:space="preserve">4.4 The Philippines</w:t>
      </w:r>
    </w:p>
    <w:p>
      <w:pPr>
        <w:pStyle w:val="FirstParagraph"/>
        <w:spacing w:line="480" w:lineRule="auto"/>
        <w:jc w:val="left"/>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spacing w:line="480" w:lineRule="auto"/>
        <w:jc w:val="left"/>
      </w:pPr>
      <w:r>
        <w:t xml:space="preserve">The Act sets a firm-scale boundary at PHP 15 billion of investment capital (about US$260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PHP 50 billion (about US$865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4"/>
    <w:bookmarkStart w:id="35" w:name="cross-country-synthesis"/>
    <w:p>
      <w:pPr>
        <w:pStyle w:val="Heading3"/>
        <w:spacing w:line="480" w:lineRule="auto"/>
      </w:pPr>
      <w:r>
        <w:t xml:space="preserve">4.5 Cross-country Synthesis</w:t>
      </w:r>
    </w:p>
    <w:p>
      <w:pPr>
        <w:pStyle w:val="FirstParagraph"/>
        <w:spacing w:line="480" w:lineRule="auto"/>
        <w:jc w:val="left"/>
      </w:pPr>
      <w:r>
        <w:t xml:space="preserve">Table 1 sets out the coded dimensions. The countries differ in where, and by what, they screen entrants.</w:t>
      </w:r>
    </w:p>
    <w:p>
      <w:pPr>
        <w:pStyle w:val="BodyText"/>
        <w:spacing w:line="480" w:lineRule="auto"/>
        <w:jc w:val="left"/>
      </w:pPr>
      <w:r>
        <w:rPr>
          <w:iCs/>
          <w:i/>
        </w:rPr>
        <w:t xml:space="preserve">[Insert Table 1 about here]</w:t>
      </w:r>
    </w:p>
    <w:p>
      <w:pPr>
        <w:pStyle w:val="BodyText"/>
        <w:spacing w:line="480" w:lineRule="auto"/>
        <w:jc w:val="left"/>
      </w:pPr>
      <w:r>
        <w:t xml:space="preserve">Entry thresholds at layer (i) are low or absent. At the compute layers the figures have three bases (company capital, project scale, cumulative spending), so we read them as orders of magnitude. Only Vietnam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spacing w:line="480" w:lineRule="auto"/>
        <w:jc w:val="left"/>
      </w:pPr>
      <w:r>
        <w:t xml:space="preserve">The differences group into four architectures (Table 2).</w:t>
      </w:r>
    </w:p>
    <w:p>
      <w:pPr>
        <w:pStyle w:val="BodyText"/>
        <w:spacing w:line="480" w:lineRule="auto"/>
        <w:jc w:val="left"/>
      </w:pPr>
      <w:r>
        <w:rPr>
          <w:iCs/>
          <w:i/>
        </w:rPr>
        <w:t xml:space="preserve">[Insert Table 2 about here]</w:t>
      </w:r>
    </w:p>
    <w:p>
      <w:pPr>
        <w:pStyle w:val="BodyText"/>
        <w:spacing w:line="480" w:lineRule="auto"/>
        <w:jc w:val="left"/>
      </w:pPr>
      <w:r>
        <w:t xml:space="preserve">Table 3 applies the common scale to each capital threshold, and Figure 1 places them against the cost benchmarks.</w:t>
      </w:r>
    </w:p>
    <w:p>
      <w:pPr>
        <w:pStyle w:val="BodyText"/>
        <w:spacing w:line="480" w:lineRule="auto"/>
        <w:jc w:val="left"/>
      </w:pPr>
      <w:r>
        <w:rPr>
          <w:iCs/>
          <w:i/>
        </w:rPr>
        <w:t xml:space="preserve">[Insert Table 3 about here]</w:t>
      </w:r>
    </w:p>
    <w:p>
      <w:pPr>
        <w:pStyle w:val="BodyText"/>
        <w:spacing w:line="480" w:lineRule="auto"/>
        <w:jc w:val="left"/>
      </w:pPr>
      <w:r>
        <w:rPr>
          <w:iCs/>
          <w:i/>
        </w:rPr>
        <w:t xml:space="preserve">[Insert Figure 1 about here]</w:t>
      </w:r>
    </w:p>
    <w:p>
      <w:pPr>
        <w:pStyle w:val="BodyText"/>
        <w:spacing w:line="480" w:lineRule="auto"/>
        <w:jc w:val="left"/>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Vietnam and the Philippines state no capital threshold at the compute layers. Where a low-capital cloud route exists, the screen is a fixed compliance cost.</w:t>
      </w:r>
    </w:p>
    <w:p>
      <w:pPr>
        <w:pStyle w:val="BodyText"/>
        <w:spacing w:line="480" w:lineRule="auto"/>
        <w:jc w:val="left"/>
      </w:pPr>
      <w:r>
        <w:rPr>
          <w:iCs/>
          <w:i/>
        </w:rPr>
        <w:t xml:space="preserve">[Insert Table 4 about here]</w:t>
      </w:r>
    </w:p>
    <w:p>
      <w:pPr>
        <w:pStyle w:val="BodyText"/>
        <w:spacing w:line="480" w:lineRule="auto"/>
        <w:jc w:val="left"/>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5"/>
    <w:bookmarkEnd w:id="36"/>
    <w:bookmarkStart w:id="42" w:name="discussion"/>
    <w:p>
      <w:pPr>
        <w:pStyle w:val="Heading2"/>
        <w:spacing w:line="480" w:lineRule="auto"/>
      </w:pPr>
      <w:r>
        <w:t xml:space="preserve">5. Discussion</w:t>
      </w:r>
    </w:p>
    <w:bookmarkStart w:id="37" w:name="cost-necessity-versus-incentive-design"/>
    <w:p>
      <w:pPr>
        <w:pStyle w:val="Heading3"/>
        <w:spacing w:line="480" w:lineRule="auto"/>
      </w:pPr>
      <w:r>
        <w:t xml:space="preserve">5.1 Cost Necessity versus Incentive Design</w:t>
      </w:r>
    </w:p>
    <w:p>
      <w:pPr>
        <w:pStyle w:val="FirstParagraph"/>
        <w:spacing w:line="480" w:lineRule="auto"/>
        <w:jc w:val="left"/>
      </w:pPr>
      <w:r>
        <w:t xml:space="preserve">The strongest challenge to a design reading is H1: infrastructure thresholds reflect the real cost of data centres. Construction cost reached about US$10.7 million per megawatt in 2025 (Turner and Townsend, 2025), and equipped AI capacity implies about US$38 million per megawatt (Epoch AI, 2026). On these figures Thailand’s US$140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spacing w:line="480" w:lineRule="auto"/>
        <w:jc w:val="left"/>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US$2.35 per GPU-hour no small provider breaks even. At US$3.00 it needs about 80 per cent utilisation and a fleet of 45 to 270 servers (US$13 million to US$80 million) to cover an overhead of US$50,000 to US$300,000 a year, and at the US$3.85 on-demand list price a few servers suffice. A scale provider breaks even at a utilisation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US$3.85, the absence of instruments for a few servers is a design outcome and M applies. If prices sit nearer US$3.00 or below, viable scale is close to the thresholds and H1 explains most of the absence. The benchmark cannot choose between these cases without data on the prices small regional providers obtain.</w:t>
      </w:r>
    </w:p>
    <w:p>
      <w:pPr>
        <w:pStyle w:val="BodyText"/>
        <w:spacing w:line="480" w:lineRule="auto"/>
        <w:jc w:val="left"/>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37"/>
    <w:bookmarkStart w:id="38" w:name="ownership"/>
    <w:p>
      <w:pPr>
        <w:pStyle w:val="Heading3"/>
        <w:spacing w:line="480" w:lineRule="auto"/>
      </w:pPr>
      <w:r>
        <w:t xml:space="preserve">5.2 Ownership</w:t>
      </w:r>
    </w:p>
    <w:p>
      <w:pPr>
        <w:pStyle w:val="FirstParagraph"/>
        <w:spacing w:line="480" w:lineRule="auto"/>
        <w:jc w:val="left"/>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38"/>
    <w:bookmarkStart w:id="39" w:name="what-the-evidence-supports"/>
    <w:p>
      <w:pPr>
        <w:pStyle w:val="Heading3"/>
        <w:spacing w:line="480" w:lineRule="auto"/>
      </w:pPr>
      <w:r>
        <w:t xml:space="preserve">5.3 What the Evidence Supports</w:t>
      </w:r>
    </w:p>
    <w:p>
      <w:pPr>
        <w:pStyle w:val="FirstParagraph"/>
        <w:spacing w:line="480" w:lineRule="auto"/>
        <w:jc w:val="left"/>
      </w:pPr>
      <w:r>
        <w:t xml:space="preserve">Table 5 rates the main evidence against the predictions of Section 2.4. The full matrix of twelve items, with what would change each rating, is in the Supporting Information (Table S3).</w:t>
      </w:r>
    </w:p>
    <w:p>
      <w:pPr>
        <w:pStyle w:val="BodyText"/>
        <w:spacing w:line="480" w:lineRule="auto"/>
        <w:jc w:val="left"/>
      </w:pPr>
      <w:r>
        <w:rPr>
          <w:iCs/>
          <w:i/>
        </w:rPr>
        <w:t xml:space="preserve">[Insert Table 5 about here]</w:t>
      </w:r>
    </w:p>
    <w:p>
      <w:pPr>
        <w:pStyle w:val="BodyText"/>
        <w:spacing w:line="480" w:lineRule="auto"/>
        <w:jc w:val="left"/>
      </w:pPr>
      <w:r>
        <w:t xml:space="preserve">Four results follow. First, cost explains the height of Thailand’s threshold, and the data cannot separate a design reading from it on that point. Second, thresholds are not forced by cost: Vietnam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spacing w:line="480" w:lineRule="auto"/>
        <w:jc w:val="left"/>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US$3.85,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specialisation with infrastructure dependence is sound. Separating the readings needs data on domestic small providers, the prices they obtain and application-layer outcomes, which we do not observe.</w:t>
      </w:r>
    </w:p>
    <w:bookmarkEnd w:id="39"/>
    <w:bookmarkStart w:id="40" w:name="relation-to-the-literature"/>
    <w:p>
      <w:pPr>
        <w:pStyle w:val="Heading3"/>
        <w:spacing w:line="480" w:lineRule="auto"/>
      </w:pPr>
      <w:r>
        <w:t xml:space="preserve">5.4 Relation to the Literature</w:t>
      </w:r>
    </w:p>
    <w:p>
      <w:pPr>
        <w:pStyle w:val="FirstParagraph"/>
        <w:spacing w:line="480" w:lineRule="auto"/>
        <w:jc w:val="left"/>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0"/>
    <w:bookmarkStart w:id="41" w:name="the-international-business-dimension"/>
    <w:p>
      <w:pPr>
        <w:pStyle w:val="Heading3"/>
        <w:spacing w:line="480" w:lineRule="auto"/>
      </w:pPr>
      <w:r>
        <w:t xml:space="preserve">5.5 The International Business Dimension</w:t>
      </w:r>
    </w:p>
    <w:p>
      <w:pPr>
        <w:pStyle w:val="FirstParagraph"/>
        <w:spacing w:line="480" w:lineRule="auto"/>
        <w:jc w:val="left"/>
      </w:pPr>
      <w:r>
        <w:t xml:space="preserve">The instruments we code are investment-promotion instruments, written to attract inward investment, and several carry conditions that concern foreign firms directly. Thailand’s data-centre activity requires a plan of benefits to Thailand and Thai personnel in at least half of executive and expert positions within three years. DESAC is open only to Malaysian-incorporated, resident providers and requires at least half of manpower to be Malaysian staff earning at least RM5,000 a month, and local vendor programmes. Vietnam’s strategic-technology enterprises must reach 40 per cent local content. The Philippine Act subjects registration to ownership qualifications. These conditions try to capture spillovers from foreign investors. None of them is a route for a small domestic provider to enter.</w:t>
      </w:r>
    </w:p>
    <w:p>
      <w:pPr>
        <w:pStyle w:val="BodyText"/>
        <w:spacing w:line="480" w:lineRule="auto"/>
        <w:jc w:val="left"/>
      </w:pPr>
      <w:r>
        <w:t xml:space="preserve">Thai approvals show the outcome. The one data-hosting project approved in 2025 belonged to TikTok (THB 126.8 billion), foreign-held shares are 85 per cent of registered capital in data centres, and the one Thai-owned GPU cloud we found, Siam AI, entered through the cloud-services route at THB 3.25 billion (Board of Investment of Thailand, 2025, 2026b). The capital and capacity gates are neutral on nationality, but if only global operators reach facility scale (Lehdonvirta et al., 2025), neutral gates in practice admit foreign firms and exclude most domestic ones. We read this as a hypothesis, since we observe approvals by project and not the firms that did not apply.</w:t>
      </w:r>
    </w:p>
    <w:p>
      <w:pPr>
        <w:pStyle w:val="BodyText"/>
        <w:spacing w:line="480" w:lineRule="auto"/>
        <w:jc w:val="left"/>
      </w:pPr>
      <w:r>
        <w:t xml:space="preserve">The policy question is therefore not whether to attract foreign investment in AI infrastructure but whether the same incentive system can also make room for domestic providers, so that local-content rules are not the only link between foreign capacity and local firms. Because host countries compete for the same investors, any one country that lowers a threshold or adds a track risks subsidising foreign entrants as well, which is why we recommend piloting and publishing take-up data before scaling.</w:t>
      </w:r>
    </w:p>
    <w:bookmarkEnd w:id="41"/>
    <w:bookmarkEnd w:id="42"/>
    <w:bookmarkStart w:id="43" w:name="policy-implications"/>
    <w:p>
      <w:pPr>
        <w:pStyle w:val="Heading2"/>
        <w:spacing w:line="480" w:lineRule="auto"/>
      </w:pPr>
      <w:r>
        <w:t xml:space="preserve">6. Policy implications</w:t>
      </w:r>
    </w:p>
    <w:p>
      <w:pPr>
        <w:pStyle w:val="FirstParagraph"/>
        <w:spacing w:line="480" w:lineRule="auto"/>
        <w:jc w:val="left"/>
      </w:pPr>
      <w:r>
        <w:t xml:space="preserve">Each implication follows from a finding and should be read with the limits in Section 7.</w:t>
      </w:r>
    </w:p>
    <w:p>
      <w:pPr>
        <w:pStyle w:val="BodyText"/>
        <w:spacing w:line="480" w:lineRule="auto"/>
        <w:jc w:val="left"/>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3.3, would show a government which of its instruments a small provider could use. Where it shows exclusion, the options are extending eligibility to colocation tenancy or modular deployment, lowering fixed certification and audit costs for small providers, or providing subsidised access to public or consortium compute. Tax relief presupposes profit, so small rungs may suit direct support or refundable credits and larger ones milestone-based incentives with compliance proportional to size (Table S4). Vietnam’s startup track is an application-layer pathway keyed to technical criteria, not capital. Risks include subsidising resale of foreign-owned capacity and fiscal leakage; we have not costed any option, and a time-limited pilot would show cost and take-up first.</w:t>
      </w:r>
    </w:p>
    <w:p>
      <w:pPr>
        <w:pStyle w:val="BodyText"/>
        <w:spacing w:line="480" w:lineRule="auto"/>
        <w:jc w:val="left"/>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spacing w:line="480" w:lineRule="auto"/>
        <w:jc w:val="left"/>
      </w:pPr>
      <w:r>
        <w:rPr>
          <w:bCs/>
          <w:b/>
        </w:rPr>
        <w:t xml:space="preserve">Publish data on who takes part.</w:t>
      </w:r>
      <w:r>
        <w:t xml:space="preserve"> </w:t>
      </w:r>
      <w:r>
        <w:t xml:space="preserve">Only Thailand publishes approvals by activity and ownership. Publishing approvals by activity, firm size and ownership in the other countries would show whether small and domestic firms use the instruments they are eligible for, and would let the rules be linked to outcomes.</w:t>
      </w:r>
    </w:p>
    <w:p>
      <w:pPr>
        <w:pStyle w:val="BodyText"/>
        <w:spacing w:line="480" w:lineRule="auto"/>
        <w:jc w:val="left"/>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specialisation, evidence on the prices small providers obtain should be collected before thresholds change.</w:t>
      </w:r>
    </w:p>
    <w:bookmarkEnd w:id="43"/>
    <w:bookmarkStart w:id="44" w:name="limitations"/>
    <w:p>
      <w:pPr>
        <w:pStyle w:val="Heading2"/>
        <w:spacing w:line="480" w:lineRule="auto"/>
      </w:pPr>
      <w:r>
        <w:t xml:space="preserve">7. Limitations</w:t>
      </w:r>
    </w:p>
    <w:p>
      <w:pPr>
        <w:pStyle w:val="FirstParagraph"/>
        <w:spacing w:line="480" w:lineRule="auto"/>
        <w:jc w:val="left"/>
      </w:pPr>
      <w:r>
        <w:t xml:space="preserve">First, legal eligibility is not realised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stylised benchmark built from vendor prices, and on an absence claim limited to AI-related and digital-sector instruments. Fourth, layers (ii) and (iii) cannot be separated in several instruments, hardware is coded only for Vietnam,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4"/>
    <w:bookmarkStart w:id="45" w:name="conclusion"/>
    <w:p>
      <w:pPr>
        <w:pStyle w:val="Heading2"/>
        <w:spacing w:line="480" w:lineRule="auto"/>
      </w:pPr>
      <w:r>
        <w:t xml:space="preserve">8. Conclusion</w:t>
      </w:r>
    </w:p>
    <w:p>
      <w:pPr>
        <w:pStyle w:val="FirstParagraph"/>
        <w:spacing w:line="480" w:lineRule="auto"/>
        <w:jc w:val="left"/>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utilisation that small regional providers actually obtain, code the general schemes, and link rules to firm-level take-up.</w:t>
      </w:r>
    </w:p>
    <w:bookmarkEnd w:id="45"/>
    <w:bookmarkStart w:id="46" w:name="data-availability-statement"/>
    <w:p>
      <w:pPr>
        <w:pStyle w:val="Heading2"/>
        <w:spacing w:line="480" w:lineRule="auto"/>
      </w:pPr>
      <w:r>
        <w:t xml:space="preserve">Data availability statement</w:t>
      </w:r>
    </w:p>
    <w:p>
      <w:pPr>
        <w:pStyle w:val="FirstParagraph"/>
        <w:spacing w:line="480" w:lineRule="auto"/>
        <w:jc w:val="left"/>
      </w:pPr>
      <w:r>
        <w:t xml:space="preserve">The instrument-level coding matrix, sources, second-coder check and viability benchmark are provided as supplementary material (Tables S1 to S6).</w:t>
      </w:r>
    </w:p>
    <w:p>
      <w:pPr>
        <w:spacing w:line="480" w:lineRule="auto"/>
        <w:jc w:val="left"/>
      </w:pPr>
      <w:r>
        <w:br w:type="page"/>
      </w:r>
    </w:p>
    <w:bookmarkEnd w:id="46"/>
    <w:bookmarkStart w:id="50" w:name="references"/>
    <w:p>
      <w:pPr>
        <w:pStyle w:val="Heading2"/>
        <w:spacing w:line="480" w:lineRule="auto"/>
      </w:pPr>
      <w:r>
        <w:t xml:space="preserve">References</w:t>
      </w:r>
    </w:p>
    <w:p>
      <w:pPr>
        <w:pStyle w:val="FirstParagraph"/>
        <w:spacing w:line="480" w:lineRule="auto"/>
        <w:jc w:val="left"/>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spacing w:line="480" w:lineRule="auto"/>
        <w:jc w:val="left"/>
      </w:pPr>
      <w:r>
        <w:t xml:space="preserve">Ang, A. (2026, July 3). The World Bank has elevated Vietnam and the Philippines to upper-middle-income status.</w:t>
      </w:r>
      <w:r>
        <w:t xml:space="preserve"> </w:t>
      </w:r>
      <w:r>
        <w:rPr>
          <w:iCs/>
          <w:i/>
        </w:rPr>
        <w:t xml:space="preserve">Fortune</w:t>
      </w:r>
      <w:r>
        <w:t xml:space="preserve">.</w:t>
      </w:r>
    </w:p>
    <w:p>
      <w:pPr>
        <w:pStyle w:val="BodyText"/>
        <w:spacing w:line="480" w:lineRule="auto"/>
        <w:jc w:val="lef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spacing w:line="480" w:lineRule="auto"/>
        <w:jc w:val="lef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 https://doi.org/10.1016/j.strueco.2024.08.008</w:t>
      </w:r>
    </w:p>
    <w:p>
      <w:pPr>
        <w:pStyle w:val="BodyText"/>
        <w:spacing w:line="480" w:lineRule="auto"/>
        <w:jc w:val="lef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spacing w:line="480" w:lineRule="auto"/>
        <w:jc w:val="left"/>
      </w:pPr>
      <w:r>
        <w:t xml:space="preserve">Board of Investment of Thailand. (2026a).</w:t>
      </w:r>
      <w:r>
        <w:t xml:space="preserve"> </w:t>
      </w:r>
      <w:r>
        <w:rPr>
          <w:iCs/>
          <w:i/>
        </w:rPr>
        <w:t xml:space="preserve">Investment promotion guide 2026</w:t>
      </w:r>
      <w:r>
        <w:t xml:space="preserve">. Office of the Board of Investment.</w:t>
      </w:r>
    </w:p>
    <w:p>
      <w:pPr>
        <w:pStyle w:val="BodyText"/>
        <w:spacing w:line="480" w:lineRule="auto"/>
        <w:jc w:val="lef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spacing w:line="480" w:lineRule="auto"/>
        <w:jc w:val="lef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 https://doi.org/10.5089/9798229008570.001</w:t>
      </w:r>
    </w:p>
    <w:p>
      <w:pPr>
        <w:pStyle w:val="BodyText"/>
        <w:spacing w:line="480" w:lineRule="auto"/>
        <w:jc w:val="lef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spacing w:line="480" w:lineRule="auto"/>
        <w:jc w:val="left"/>
      </w:pPr>
      <w:r>
        <w:t xml:space="preserve">Collier, D. (2011). Understanding process tracing.</w:t>
      </w:r>
      <w:r>
        <w:t xml:space="preserve"> </w:t>
      </w:r>
      <w:r>
        <w:rPr>
          <w:iCs/>
          <w:i/>
        </w:rPr>
        <w:t xml:space="preserve">PS: Political Science &amp; Politics, 44</w:t>
      </w:r>
      <w:r>
        <w:t xml:space="preserve">(4), 823-830. https://doi.org/10.1017/S1049096511001429</w:t>
      </w:r>
    </w:p>
    <w:p>
      <w:pPr>
        <w:pStyle w:val="BodyText"/>
        <w:spacing w:line="480" w:lineRule="auto"/>
        <w:jc w:val="left"/>
      </w:pPr>
      <w:r>
        <w:t xml:space="preserve">Doner, R. F., &amp; Schneider, B. R. (2016). The middle-income trap: More politics than economics.</w:t>
      </w:r>
      <w:r>
        <w:t xml:space="preserve"> </w:t>
      </w:r>
      <w:r>
        <w:rPr>
          <w:iCs/>
          <w:i/>
        </w:rPr>
        <w:t xml:space="preserve">World Politics, 68</w:t>
      </w:r>
      <w:r>
        <w:t xml:space="preserve">(4), 608-644. https://doi.org/10.1017/S0043887116000095</w:t>
      </w:r>
    </w:p>
    <w:p>
      <w:pPr>
        <w:pStyle w:val="BodyText"/>
        <w:spacing w:line="480" w:lineRule="auto"/>
        <w:jc w:val="left"/>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spacing w:line="480" w:lineRule="auto"/>
        <w:jc w:val="lef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spacing w:line="480" w:lineRule="auto"/>
        <w:jc w:val="left"/>
      </w:pPr>
      <w:r>
        <w:t xml:space="preserve">Fairfield, T., &amp; Charman, A. E. (2017). Explicit Bayesian analysis for process tracing: Guidelines, opportunities, and caveats.</w:t>
      </w:r>
      <w:r>
        <w:t xml:space="preserve"> </w:t>
      </w:r>
      <w:r>
        <w:rPr>
          <w:iCs/>
          <w:i/>
        </w:rPr>
        <w:t xml:space="preserve">Political Analysis, 25</w:t>
      </w:r>
      <w:r>
        <w:t xml:space="preserve">(3), 363-380. https://doi.org/10.1017/pan.2017.14</w:t>
      </w:r>
    </w:p>
    <w:p>
      <w:pPr>
        <w:pStyle w:val="BodyText"/>
        <w:spacing w:line="480" w:lineRule="auto"/>
        <w:jc w:val="lef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spacing w:line="480" w:lineRule="auto"/>
        <w:jc w:val="left"/>
      </w:pPr>
      <w:r>
        <w:t xml:space="preserve">Hausmann, R., &amp; Rodrik, D. (2003). Economic development as self-discovery.</w:t>
      </w:r>
      <w:r>
        <w:t xml:space="preserve"> </w:t>
      </w:r>
      <w:r>
        <w:rPr>
          <w:iCs/>
          <w:i/>
        </w:rPr>
        <w:t xml:space="preserve">Journal of Development Economics, 72</w:t>
      </w:r>
      <w:r>
        <w:t xml:space="preserve">(2), 603-633. https://doi.org/10.1016/S0304-3878(03)00124-X</w:t>
      </w:r>
    </w:p>
    <w:p>
      <w:pPr>
        <w:pStyle w:val="BodyText"/>
        <w:spacing w:line="480" w:lineRule="auto"/>
        <w:jc w:val="left"/>
      </w:pPr>
      <w:r>
        <w:t xml:space="preserve">Imam, P. A., &amp; Temple, J. R. W. (2026). At the threshold: The increasing relevance of the middle-income trap.</w:t>
      </w:r>
      <w:r>
        <w:t xml:space="preserve"> </w:t>
      </w:r>
      <w:r>
        <w:rPr>
          <w:iCs/>
          <w:i/>
        </w:rPr>
        <w:t xml:space="preserve">Scandinavian Journal of Economics</w:t>
      </w:r>
      <w:r>
        <w:t xml:space="preserve">. https://doi.org/10.1111/sjoe.70036</w:t>
      </w:r>
    </w:p>
    <w:p>
      <w:pPr>
        <w:pStyle w:val="BodyText"/>
        <w:spacing w:line="480" w:lineRule="auto"/>
        <w:jc w:val="left"/>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spacing w:line="480" w:lineRule="auto"/>
        <w:jc w:val="left"/>
      </w:pPr>
      <w:r>
        <w:t xml:space="preserve">Lee, K. (2019).</w:t>
      </w:r>
      <w:r>
        <w:t xml:space="preserve"> </w:t>
      </w:r>
      <w:r>
        <w:rPr>
          <w:iCs/>
          <w:i/>
        </w:rPr>
        <w:t xml:space="preserve">The art of economic catch-up: Barriers, detours and leapfrogging in innovation systems</w:t>
      </w:r>
      <w:r>
        <w:t xml:space="preserve">. Cambridge University Press. https://doi.org/10.1017/9781108588232</w:t>
      </w:r>
    </w:p>
    <w:p>
      <w:pPr>
        <w:pStyle w:val="BodyText"/>
        <w:spacing w:line="480" w:lineRule="auto"/>
        <w:jc w:val="lef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 https://doi.org/10.1609/aies.v7i1.31683</w:t>
      </w:r>
    </w:p>
    <w:p>
      <w:pPr>
        <w:pStyle w:val="BodyText"/>
        <w:spacing w:line="480" w:lineRule="auto"/>
        <w:jc w:val="lef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 https://doi.org/10.1080/09692290.2025.2489077</w:t>
      </w:r>
    </w:p>
    <w:p>
      <w:pPr>
        <w:pStyle w:val="BodyText"/>
        <w:spacing w:line="480" w:lineRule="auto"/>
        <w:jc w:val="lef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spacing w:line="480" w:lineRule="auto"/>
        <w:jc w:val="left"/>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spacing w:line="480" w:lineRule="auto"/>
        <w:jc w:val="lef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spacing w:line="480" w:lineRule="auto"/>
        <w:jc w:val="left"/>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spacing w:line="480" w:lineRule="auto"/>
        <w:jc w:val="left"/>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spacing w:line="480" w:lineRule="auto"/>
        <w:jc w:val="left"/>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spacing w:line="480" w:lineRule="auto"/>
        <w:jc w:val="left"/>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spacing w:line="480" w:lineRule="auto"/>
        <w:jc w:val="lef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spacing w:line="480" w:lineRule="auto"/>
        <w:jc w:val="lef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spacing w:line="480" w:lineRule="auto"/>
        <w:jc w:val="lef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 https://doi.org/10.1177/1065912907313077</w:t>
      </w:r>
    </w:p>
    <w:p>
      <w:pPr>
        <w:pStyle w:val="BodyText"/>
        <w:spacing w:line="480" w:lineRule="auto"/>
        <w:jc w:val="left"/>
      </w:pPr>
      <w:r>
        <w:t xml:space="preserve">Turner &amp; Townsend. (2025).</w:t>
      </w:r>
      <w:r>
        <w:t xml:space="preserve"> </w:t>
      </w:r>
      <w:r>
        <w:rPr>
          <w:iCs/>
          <w:i/>
        </w:rPr>
        <w:t xml:space="preserve">Data centre construction cost index 2025-2026</w:t>
      </w:r>
      <w:r>
        <w:t xml:space="preserve">. Turner &amp; Townsend.</w:t>
      </w:r>
    </w:p>
    <w:p>
      <w:pPr>
        <w:pStyle w:val="BodyText"/>
        <w:spacing w:line="480" w:lineRule="auto"/>
        <w:jc w:val="lef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spacing w:line="480" w:lineRule="auto"/>
        <w:jc w:val="lef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spacing w:line="480" w:lineRule="auto"/>
        <w:jc w:val="left"/>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spacing w:line="480" w:lineRule="auto"/>
        <w:jc w:val="left"/>
      </w:pPr>
      <w:r>
        <w:t xml:space="preserve">Zheng, Y. (2024). The middle technology trap: China in a comparative perspective.</w:t>
      </w:r>
      <w:r>
        <w:t xml:space="preserve"> </w:t>
      </w:r>
      <w:r>
        <w:rPr>
          <w:iCs/>
          <w:i/>
        </w:rPr>
        <w:t xml:space="preserve">Asian Review of Political Economy, 3</w:t>
      </w:r>
      <w:r>
        <w:t xml:space="preserve">(1), 11. https://doi.org/10.1007/s44216-024-00030-8</w:t>
      </w:r>
    </w:p>
    <w:p>
      <w:pPr>
        <w:spacing w:line="480" w:lineRule="auto"/>
        <w:jc w:val="left"/>
      </w:pPr>
      <w:r>
        <w:br w:type="page"/>
      </w:r>
    </w:p>
    <w:p>
      <w:pPr>
        <w:pStyle w:val="BodyText"/>
        <w:spacing w:line="480" w:lineRule="auto"/>
        <w:jc w:val="left"/>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Dimension</w:t>
            </w:r>
          </w:p>
        </w:tc>
        <w:tc>
          <w:tcPr/>
          <w:p>
            <w:pPr>
              <w:pStyle w:val="Compact"/>
              <w:jc w:val="left"/>
            </w:pPr>
            <w:r>
              <w:rPr>
                <w:b/>
                <w:sz w:val="17"/>
              </w:rPr>
              <w:t xml:space="preserve">Thailand</w:t>
            </w:r>
          </w:p>
        </w:tc>
        <w:tc>
          <w:tcPr/>
          <w:p>
            <w:pPr>
              <w:pStyle w:val="Compact"/>
              <w:jc w:val="left"/>
            </w:pPr>
            <w:r>
              <w:rPr>
                <w:b/>
                <w:sz w:val="17"/>
              </w:rPr>
              <w:t xml:space="preserve">Vietnam</w:t>
            </w:r>
          </w:p>
        </w:tc>
        <w:tc>
          <w:tcPr/>
          <w:p>
            <w:pPr>
              <w:pStyle w:val="Compact"/>
              <w:jc w:val="left"/>
            </w:pPr>
            <w:r>
              <w:rPr>
                <w:b/>
                <w:sz w:val="17"/>
              </w:rPr>
              <w:t xml:space="preserve">Malaysia</w:t>
            </w:r>
          </w:p>
        </w:tc>
        <w:tc>
          <w:tcPr/>
          <w:p>
            <w:pPr>
              <w:pStyle w:val="Compact"/>
              <w:jc w:val="left"/>
            </w:pPr>
            <w:r>
              <w:rPr>
                <w:b/>
                <w:sz w:val="17"/>
              </w:rPr>
              <w:t xml:space="preserve">Philippines</w:t>
            </w:r>
          </w:p>
        </w:tc>
      </w:tr>
      <w:tr>
        <w:tc>
          <w:tcPr/>
          <w:p>
            <w:pPr>
              <w:pStyle w:val="Compact"/>
              <w:jc w:val="left"/>
            </w:pPr>
            <w:r>
              <w:rPr>
                <w:sz w:val="17"/>
              </w:rPr>
              <w:t xml:space="preserve">Layer (i)</w:t>
            </w:r>
          </w:p>
        </w:tc>
        <w:tc>
          <w:tcPr/>
          <w:p>
            <w:pPr>
              <w:pStyle w:val="Compact"/>
              <w:jc w:val="left"/>
            </w:pPr>
            <w:r>
              <w:rPr>
                <w:sz w:val="17"/>
              </w:rPr>
              <w:t xml:space="preserve">Accessible: THB 1.5m (US$42,000) a year of Thai IT salaries</w:t>
            </w:r>
          </w:p>
        </w:tc>
        <w:tc>
          <w:tcPr/>
          <w:p>
            <w:pPr>
              <w:pStyle w:val="Compact"/>
              <w:jc w:val="left"/>
            </w:pPr>
            <w:r>
              <w:rPr>
                <w:sz w:val="17"/>
              </w:rPr>
              <w:t xml:space="preserve">Accessible: startup track (any listed technology); Group 1 products</w:t>
            </w:r>
          </w:p>
        </w:tc>
        <w:tc>
          <w:tcPr/>
          <w:p>
            <w:pPr>
              <w:pStyle w:val="Compact"/>
              <w:jc w:val="left"/>
            </w:pPr>
            <w:r>
              <w:rPr>
                <w:sz w:val="17"/>
              </w:rPr>
              <w:t xml:space="preserve">Accessible: RM50,000 (US$11,000) paid-up capital</w:t>
            </w:r>
          </w:p>
        </w:tc>
        <w:tc>
          <w:tcPr/>
          <w:p>
            <w:pPr>
              <w:pStyle w:val="Compact"/>
              <w:jc w:val="left"/>
            </w:pPr>
            <w:r>
              <w:rPr>
                <w:sz w:val="17"/>
              </w:rPr>
              <w:t xml:space="preserve">Accessible: no minimum; listing and cost-benefit evaluation</w:t>
            </w:r>
          </w:p>
        </w:tc>
      </w:tr>
      <w:tr>
        <w:tc>
          <w:tcPr/>
          <w:p>
            <w:pPr>
              <w:pStyle w:val="Compact"/>
              <w:jc w:val="left"/>
            </w:pPr>
            <w:r>
              <w:rPr>
                <w:sz w:val="17"/>
              </w:rPr>
              <w:t xml:space="preserve">Compute layers</w:t>
            </w:r>
          </w:p>
        </w:tc>
        <w:tc>
          <w:tcPr/>
          <w:p>
            <w:pPr>
              <w:pStyle w:val="Compact"/>
              <w:jc w:val="left"/>
            </w:pPr>
            <w:r>
              <w:rPr>
                <w:sz w:val="17"/>
              </w:rPr>
              <w:t xml:space="preserve">Data centres at least 2 MW. Cloud: no capital minimum, two certified data centres, ISO 27001 and 20000-1. GPU hosting: at least US$140m</w:t>
            </w:r>
          </w:p>
        </w:tc>
        <w:tc>
          <w:tcPr/>
          <w:p>
            <w:pPr>
              <w:pStyle w:val="Compact"/>
              <w:jc w:val="left"/>
            </w:pPr>
            <w:r>
              <w:rPr>
                <w:sz w:val="17"/>
              </w:rPr>
              <w:t xml:space="preserve">Cloud-computing platforms listed, undefined; no capital rule; infrastructure support for research tasks</w:t>
            </w:r>
          </w:p>
        </w:tc>
        <w:tc>
          <w:tcPr/>
          <w:p>
            <w:pPr>
              <w:pStyle w:val="Compact"/>
              <w:jc w:val="left"/>
            </w:pPr>
            <w:r>
              <w:rPr>
                <w:sz w:val="17"/>
              </w:rPr>
              <w:t xml:space="preserve">MD track covers cloud at RM50,000. DESAC: paid-up floor US$0.55m, smallest category 0.85 MW, ten-year condition US$220m</w:t>
            </w:r>
          </w:p>
        </w:tc>
        <w:tc>
          <w:tcPr/>
          <w:p>
            <w:pPr>
              <w:pStyle w:val="Compact"/>
              <w:jc w:val="left"/>
            </w:pPr>
            <w:r>
              <w:rPr>
                <w:sz w:val="17"/>
              </w:rPr>
              <w:t xml:space="preserve">Hyperscalers and grid data centres Tier I; own-power data centres Tier III; no size condition; PHP 15bn routing boundary</w:t>
            </w:r>
          </w:p>
        </w:tc>
      </w:tr>
      <w:tr>
        <w:tc>
          <w:tcPr/>
          <w:p>
            <w:pPr>
              <w:pStyle w:val="Compact"/>
              <w:jc w:val="left"/>
            </w:pPr>
            <w:r>
              <w:rPr>
                <w:sz w:val="17"/>
              </w:rPr>
              <w:t xml:space="preserve">Aimed at compute below facility scale</w:t>
            </w:r>
          </w:p>
        </w:tc>
        <w:tc>
          <w:tcPr/>
          <w:p>
            <w:pPr>
              <w:pStyle w:val="Compact"/>
              <w:jc w:val="left"/>
            </w:pPr>
            <w:r>
              <w:rPr>
                <w:sz w:val="17"/>
              </w:rPr>
              <w:t xml:space="preserve">None; cloud has no capital minimum</w:t>
            </w:r>
          </w:p>
        </w:tc>
        <w:tc>
          <w:tcPr/>
          <w:p>
            <w:pPr>
              <w:pStyle w:val="Compact"/>
              <w:jc w:val="left"/>
            </w:pPr>
            <w:r>
              <w:rPr>
                <w:sz w:val="17"/>
              </w:rPr>
              <w:t xml:space="preserve">None</w:t>
            </w:r>
          </w:p>
        </w:tc>
        <w:tc>
          <w:tcPr/>
          <w:p>
            <w:pPr>
              <w:pStyle w:val="Compact"/>
              <w:jc w:val="left"/>
            </w:pPr>
            <w:r>
              <w:rPr>
                <w:sz w:val="17"/>
              </w:rPr>
              <w:t xml:space="preserve">None; MD track may admit</w:t>
            </w:r>
          </w:p>
        </w:tc>
        <w:tc>
          <w:tcPr/>
          <w:p>
            <w:pPr>
              <w:pStyle w:val="Compact"/>
              <w:jc w:val="left"/>
            </w:pPr>
            <w:r>
              <w:rPr>
                <w:sz w:val="17"/>
              </w:rPr>
              <w:t xml:space="preserve">None</w:t>
            </w:r>
          </w:p>
        </w:tc>
      </w:tr>
      <w:tr>
        <w:tc>
          <w:tcPr/>
          <w:p>
            <w:pPr>
              <w:pStyle w:val="Compact"/>
              <w:jc w:val="left"/>
            </w:pPr>
            <w:r>
              <w:rPr>
                <w:sz w:val="17"/>
              </w:rPr>
              <w:t xml:space="preserve">Explicit new-firm accommodation</w:t>
            </w:r>
          </w:p>
        </w:tc>
        <w:tc>
          <w:tcPr/>
          <w:p>
            <w:pPr>
              <w:pStyle w:val="Compact"/>
              <w:jc w:val="left"/>
            </w:pPr>
            <w:r>
              <w:rPr>
                <w:sz w:val="17"/>
              </w:rPr>
              <w:t xml:space="preserve">None</w:t>
            </w:r>
          </w:p>
        </w:tc>
        <w:tc>
          <w:tcPr/>
          <w:p>
            <w:pPr>
              <w:pStyle w:val="Compact"/>
              <w:jc w:val="left"/>
            </w:pPr>
            <w:r>
              <w:rPr>
                <w:sz w:val="17"/>
              </w:rPr>
              <w:t xml:space="preserve">Startup track (Art. 11)</w:t>
            </w:r>
          </w:p>
        </w:tc>
        <w:tc>
          <w:tcPr/>
          <w:p>
            <w:pPr>
              <w:pStyle w:val="Compact"/>
              <w:jc w:val="left"/>
            </w:pPr>
            <w:r>
              <w:rPr>
                <w:sz w:val="17"/>
              </w:rPr>
              <w:t xml:space="preserve">None</w:t>
            </w:r>
          </w:p>
        </w:tc>
        <w:tc>
          <w:tcPr/>
          <w:p>
            <w:pPr>
              <w:pStyle w:val="Compact"/>
              <w:jc w:val="left"/>
            </w:pPr>
            <w:r>
              <w:rPr>
                <w:sz w:val="17"/>
              </w:rPr>
              <w:t xml:space="preserve">None</w:t>
            </w:r>
          </w:p>
        </w:tc>
      </w:tr>
      <w:tr>
        <w:tc>
          <w:tcPr/>
          <w:p>
            <w:pPr>
              <w:pStyle w:val="Compact"/>
              <w:jc w:val="left"/>
            </w:pPr>
            <w:r>
              <w:rPr>
                <w:sz w:val="17"/>
              </w:rPr>
              <w:t xml:space="preserve">Recurring compliance</w:t>
            </w:r>
          </w:p>
        </w:tc>
        <w:tc>
          <w:tcPr/>
          <w:p>
            <w:pPr>
              <w:pStyle w:val="Compact"/>
              <w:jc w:val="left"/>
            </w:pPr>
            <w:r>
              <w:rPr>
                <w:sz w:val="17"/>
              </w:rPr>
              <w:t xml:space="preserve">ISO certification</w:t>
            </w:r>
          </w:p>
        </w:tc>
        <w:tc>
          <w:tcPr/>
          <w:p>
            <w:pPr>
              <w:pStyle w:val="Compact"/>
              <w:jc w:val="left"/>
            </w:pPr>
            <w:r>
              <w:rPr>
                <w:sz w:val="17"/>
              </w:rPr>
              <w:t xml:space="preserve">Research ratios; startup reports</w:t>
            </w:r>
          </w:p>
        </w:tc>
        <w:tc>
          <w:tcPr/>
          <w:p>
            <w:pPr>
              <w:pStyle w:val="Compact"/>
              <w:jc w:val="left"/>
            </w:pPr>
            <w:r>
              <w:rPr>
                <w:sz w:val="17"/>
              </w:rPr>
              <w:t xml:space="preserve">Audited declaration at own cost</w:t>
            </w:r>
          </w:p>
        </w:tc>
        <w:tc>
          <w:tcPr/>
          <w:p>
            <w:pPr>
              <w:pStyle w:val="Compact"/>
              <w:jc w:val="left"/>
            </w:pPr>
            <w:r>
              <w:rPr>
                <w:sz w:val="17"/>
              </w:rPr>
              <w:t xml:space="preserve">Cost-benefit; FIRB review</w:t>
            </w:r>
          </w:p>
        </w:tc>
      </w:tr>
      <w:tr>
        <w:tc>
          <w:tcPr/>
          <w:p>
            <w:pPr>
              <w:pStyle w:val="Compact"/>
              <w:jc w:val="left"/>
            </w:pPr>
            <w:r>
              <w:rPr>
                <w:sz w:val="17"/>
              </w:rPr>
              <w:t xml:space="preserve">Where the screen falls</w:t>
            </w:r>
          </w:p>
        </w:tc>
        <w:tc>
          <w:tcPr/>
          <w:p>
            <w:pPr>
              <w:pStyle w:val="Compact"/>
              <w:jc w:val="left"/>
            </w:pPr>
            <w:r>
              <w:rPr>
                <w:sz w:val="17"/>
              </w:rPr>
              <w:t xml:space="preserve">Capacity and capital at data-centre and GPU activities; certification at cloud</w:t>
            </w:r>
          </w:p>
        </w:tc>
        <w:tc>
          <w:tcPr/>
          <w:p>
            <w:pPr>
              <w:pStyle w:val="Compact"/>
              <w:jc w:val="left"/>
            </w:pPr>
            <w:r>
              <w:rPr>
                <w:sz w:val="17"/>
              </w:rPr>
              <w:t xml:space="preserve">Designation, recognition, enterprise criteria</w:t>
            </w:r>
          </w:p>
        </w:tc>
        <w:tc>
          <w:tcPr/>
          <w:p>
            <w:pPr>
              <w:pStyle w:val="Compact"/>
              <w:jc w:val="left"/>
            </w:pPr>
            <w:r>
              <w:rPr>
                <w:sz w:val="17"/>
              </w:rPr>
              <w:t xml:space="preserve">Audit cost (MD); 0.85 MW and outcome conditions (DESAC)</w:t>
            </w:r>
          </w:p>
        </w:tc>
        <w:tc>
          <w:tcPr/>
          <w:p>
            <w:pPr>
              <w:pStyle w:val="Compact"/>
              <w:jc w:val="left"/>
            </w:pPr>
            <w:r>
              <w:rPr>
                <w:sz w:val="17"/>
              </w:rPr>
              <w:t xml:space="preserve">Listing, evaluation, firm-scale routing</w:t>
            </w:r>
          </w:p>
        </w:tc>
      </w:tr>
    </w:tbl>
    <w:p>
      <w:pPr>
        <w:pStyle w:val="BodyText"/>
        <w:spacing w:line="480" w:lineRule="auto"/>
        <w:jc w:val="left"/>
      </w:pPr>
      <w:r>
        <w:rPr>
          <w:iCs/>
          <w:i/>
        </w:rPr>
        <w:t xml:space="preserve">Note.</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spacing w:line="480" w:lineRule="auto"/>
        <w:jc w:val="left"/>
      </w:pPr>
      <w:r>
        <w:br w:type="page"/>
      </w:r>
    </w:p>
    <w:p>
      <w:pPr>
        <w:pStyle w:val="BodyText"/>
        <w:spacing w:line="480" w:lineRule="auto"/>
        <w:jc w:val="left"/>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c>
          <w:tcPr/>
          <w:p>
            <w:pPr>
              <w:pStyle w:val="Compact"/>
              <w:jc w:val="left"/>
            </w:pPr>
            <w:r>
              <w:rPr>
                <w:b/>
                <w:sz w:val="17"/>
              </w:rPr>
              <w:t xml:space="preserve">Implication for a small entrant to compute supply</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(US$140m) at data-centre and GPU hosting; certification at cloud</w:t>
            </w:r>
          </w:p>
        </w:tc>
        <w:tc>
          <w:tcPr/>
          <w:p>
            <w:pPr>
              <w:pStyle w:val="Compact"/>
              <w:jc w:val="left"/>
            </w:pPr>
            <w:r>
              <w:rPr>
                <w:sz w:val="17"/>
              </w:rPr>
              <w:t xml:space="preserve">A low-capital cloud route exists, screened by certification; GPU rental and data centres are gated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MD: audit cost. DESAC: categories from 0.85 MW and facility-oriented conditions</w:t>
            </w:r>
          </w:p>
        </w:tc>
        <w:tc>
          <w:tcPr/>
          <w:p>
            <w:pPr>
              <w:pStyle w:val="Compact"/>
              <w:jc w:val="left"/>
            </w:pPr>
            <w:r>
              <w:rPr>
                <w:sz w:val="17"/>
              </w:rPr>
              <w:t xml:space="preserve">A small cloud provider may use MD; the data-centre track starts at 0.85 MW</w:t>
            </w:r>
          </w:p>
        </w:tc>
      </w:tr>
      <w:tr>
        <w:tc>
          <w:tcPr/>
          <w:p>
            <w:pPr>
              <w:pStyle w:val="Compact"/>
              <w:jc w:val="left"/>
            </w:pPr>
            <w:r>
              <w:rPr>
                <w:sz w:val="17"/>
              </w:rPr>
              <w:t xml:space="preserve">Strategic-technology list</w:t>
            </w:r>
          </w:p>
        </w:tc>
        <w:tc>
          <w:tcPr/>
          <w:p>
            <w:pPr>
              <w:pStyle w:val="Compact"/>
              <w:jc w:val="left"/>
            </w:pPr>
            <w:r>
              <w:rPr>
                <w:sz w:val="17"/>
              </w:rPr>
              <w:t xml:space="preserve">Vietnam</w:t>
            </w:r>
          </w:p>
        </w:tc>
        <w:tc>
          <w:tcPr/>
          <w:p>
            <w:pPr>
              <w:pStyle w:val="Compact"/>
              <w:jc w:val="left"/>
            </w:pPr>
            <w:r>
              <w:rPr>
                <w:sz w:val="17"/>
              </w:rPr>
              <w:t xml:space="preserve">Designation and enterprise criteria, not capital</w:t>
            </w:r>
          </w:p>
        </w:tc>
        <w:tc>
          <w:tcPr/>
          <w:p>
            <w:pPr>
              <w:pStyle w:val="Compact"/>
              <w:jc w:val="left"/>
            </w:pPr>
            <w:r>
              <w:rPr>
                <w:sz w:val="17"/>
              </w:rPr>
              <w:t xml:space="preserve">No capital barrier; access depends on designation and uncoded instruments</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c>
          <w:tcPr/>
          <w:p>
            <w:pPr>
              <w:pStyle w:val="Compact"/>
              <w:jc w:val="left"/>
            </w:pPr>
            <w:r>
              <w:rPr>
                <w:sz w:val="17"/>
              </w:rPr>
              <w:t xml:space="preserve">The same boundary governs software and data centres; no size condition</w:t>
            </w:r>
          </w:p>
        </w:tc>
      </w:tr>
    </w:tbl>
    <w:p>
      <w:pPr>
        <w:spacing w:line="480" w:lineRule="auto"/>
        <w:jc w:val="left"/>
      </w:pPr>
      <w:r>
        <w:br w:type="page"/>
      </w:r>
    </w:p>
    <w:p>
      <w:pPr>
        <w:pStyle w:val="BodyText"/>
        <w:spacing w:line="480" w:lineRule="auto"/>
        <w:jc w:val="left"/>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From one server (orders of magnitude)</w:t>
            </w:r>
          </w:p>
        </w:tc>
        <w:tc>
          <w:tcPr/>
          <w:p>
            <w:pPr>
              <w:pStyle w:val="Compact"/>
              <w:jc w:val="left"/>
            </w:pPr>
            <w:r>
              <w:rPr>
                <w:b/>
                <w:sz w:val="17"/>
              </w:rPr>
              <w:t xml:space="preserve">From viable fleet, central case (orders)</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Thailand, cloud (8.2.2)</w:t>
            </w:r>
          </w:p>
        </w:tc>
        <w:tc>
          <w:tcPr/>
          <w:p>
            <w:pPr>
              <w:pStyle w:val="Compact"/>
              <w:jc w:val="left"/>
            </w:pPr>
            <w:r>
              <w:rPr>
                <w:sz w:val="17"/>
              </w:rPr>
              <w:t xml:space="preserve">No capital condition</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capex</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r>
        <w:tc>
          <w:tcPr/>
          <w:p>
            <w:pPr>
              <w:pStyle w:val="Compact"/>
              <w:jc w:val="left"/>
            </w:pPr>
            <w:r>
              <w:rPr>
                <w:sz w:val="17"/>
              </w:rPr>
              <w:t xml:space="preserve">Vietnam</w:t>
            </w:r>
          </w:p>
        </w:tc>
        <w:tc>
          <w:tcPr/>
          <w:p>
            <w:pPr>
              <w:pStyle w:val="Compact"/>
              <w:jc w:val="left"/>
            </w:pPr>
            <w:r>
              <w:rPr>
                <w:sz w:val="17"/>
              </w:rPr>
              <w:t xml:space="preserve">No capital rule</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bl>
    <w:p>
      <w:pPr>
        <w:pStyle w:val="BodyText"/>
        <w:spacing w:line="480" w:lineRule="auto"/>
        <w:jc w:val="left"/>
      </w:pPr>
      <w:r>
        <w:rPr>
          <w:iCs/>
          <w:i/>
        </w:rPr>
        <w:t xml:space="preserve">Note.</w:t>
      </w:r>
      <w:r>
        <w:t xml:space="preserve"> </w:t>
      </w:r>
      <w:r>
        <w:t xml:space="preserve">Distance is log10 of the threshold over a baseline. The one-server baseline is US$0.13m to US$0.46m, the capital to host one eight-accelerator server on the two benchmarks. The viable-fleet baseline is US$13m to US$80m, the fleet of 45 to 270 servers that covers a provider’s overhead at US$3.00 per GPU-hour and 80 per cent utilisation (Section 5.1, Table S5); it falls to US$0.3m to US$2m at US$3.85 and does not exist at US$2.35. Malaysia’s paid-up capital floors measure company capital and are not placed on the scale. The Philippine figures are a routing boundary and a package condition, not entry rules. Negative values mean the threshold lies inside the viable range.</w:t>
      </w:r>
    </w:p>
    <w:p>
      <w:pPr>
        <w:spacing w:line="480" w:lineRule="auto"/>
        <w:jc w:val="left"/>
      </w:pPr>
      <w:r>
        <w:br w:type="page"/>
      </w:r>
    </w:p>
    <w:p>
      <w:pPr>
        <w:pStyle w:val="BodyText"/>
        <w:spacing w:line="480" w:lineRule="auto"/>
        <w:jc w:val="left"/>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b/>
                <w:sz w:val="17"/>
              </w:rPr>
              <w:t xml:space="preserve">Country</w:t>
            </w:r>
          </w:p>
        </w:tc>
        <w:tc>
          <w:tcPr/>
          <w:p>
            <w:pPr>
              <w:pStyle w:val="Compact"/>
              <w:jc w:val="left"/>
            </w:pPr>
            <w:r>
              <w:rPr>
                <w:b/>
                <w:sz w:val="17"/>
              </w:rPr>
              <w:t xml:space="preserve">Firm A: AI software startup</w:t>
            </w:r>
          </w:p>
        </w:tc>
        <w:tc>
          <w:tcPr/>
          <w:p>
            <w:pPr>
              <w:pStyle w:val="Compact"/>
              <w:jc w:val="left"/>
            </w:pPr>
            <w:r>
              <w:rPr>
                <w:b/>
                <w:sz w:val="17"/>
              </w:rPr>
              <w:t xml:space="preserve">Firm B: reseller, 20 servers on leased colocation</w:t>
            </w:r>
          </w:p>
        </w:tc>
        <w:tc>
          <w:tcPr/>
          <w:p>
            <w:pPr>
              <w:pStyle w:val="Compact"/>
              <w:jc w:val="left"/>
            </w:pPr>
            <w:r>
              <w:rPr>
                <w:b/>
                <w:sz w:val="17"/>
              </w:rPr>
              <w:t xml:space="preserve">Firm C: 1 MW colocation operator</w:t>
            </w:r>
          </w:p>
        </w:tc>
      </w:tr>
      <w:tr>
        <w:tc>
          <w:tcPr/>
          <w:p>
            <w:pPr>
              <w:pStyle w:val="Compact"/>
              <w:jc w:val="left"/>
            </w:pPr>
            <w:r>
              <w:rPr>
                <w:sz w:val="17"/>
              </w:rPr>
              <w:t xml:space="preserve">Thailand</w:t>
            </w:r>
          </w:p>
        </w:tc>
        <w:tc>
          <w:tcPr/>
          <w:p>
            <w:pPr>
              <w:pStyle w:val="Compact"/>
              <w:jc w:val="left"/>
            </w:pPr>
            <w:r>
              <w:rPr>
                <w:sz w:val="17"/>
              </w:rPr>
              <w:t xml:space="preserve">Eligible (8.1.1)</w:t>
            </w:r>
          </w:p>
        </w:tc>
        <w:tc>
          <w:tcPr/>
          <w:p>
            <w:pPr>
              <w:pStyle w:val="Compact"/>
              <w:jc w:val="left"/>
            </w:pPr>
            <w:r>
              <w:rPr>
                <w:sz w:val="17"/>
              </w:rPr>
              <w:t xml:space="preserve">Possibly eligible as cloud (8.2.2, no capital minimum, but two certified data centres and ISO certification, the route Siam AI used); GPU rental as such falls under 8.2.4.1</w:t>
            </w:r>
          </w:p>
        </w:tc>
        <w:tc>
          <w:tcPr/>
          <w:p>
            <w:pPr>
              <w:pStyle w:val="Compact"/>
              <w:jc w:val="left"/>
            </w:pPr>
            <w:r>
              <w:rPr>
                <w:sz w:val="17"/>
              </w:rPr>
              <w:t xml:space="preserve">Ineligible (8.2.1 needs 2 MW)</w:t>
            </w:r>
          </w:p>
        </w:tc>
      </w:tr>
      <w:tr>
        <w:tc>
          <w:tcPr/>
          <w:p>
            <w:pPr>
              <w:pStyle w:val="Compact"/>
              <w:jc w:val="left"/>
            </w:pPr>
            <w:r>
              <w:rPr>
                <w:sz w:val="17"/>
              </w:rPr>
              <w:t xml:space="preserve">Vietnam</w:t>
            </w:r>
          </w:p>
        </w:tc>
        <w:tc>
          <w:tcPr/>
          <w:p>
            <w:pPr>
              <w:pStyle w:val="Compact"/>
              <w:jc w:val="left"/>
            </w:pPr>
            <w:r>
              <w:rPr>
                <w:sz w:val="17"/>
              </w:rPr>
              <w:t xml:space="preserve">Eligible (startup track, subject to recognition)</w:t>
            </w:r>
          </w:p>
        </w:tc>
        <w:tc>
          <w:tcPr/>
          <w:p>
            <w:pPr>
              <w:pStyle w:val="Compact"/>
              <w:jc w:val="left"/>
            </w:pPr>
            <w:r>
              <w:rPr>
                <w:sz w:val="17"/>
              </w:rPr>
              <w:t xml:space="preserve">Unclear (cloud platforms listed with no capital rule; capacity resale not addressed)</w:t>
            </w:r>
          </w:p>
        </w:tc>
        <w:tc>
          <w:tcPr/>
          <w:p>
            <w:pPr>
              <w:pStyle w:val="Compact"/>
              <w:jc w:val="left"/>
            </w:pPr>
            <w:r>
              <w:rPr>
                <w:sz w:val="17"/>
              </w:rPr>
              <w:t xml:space="preserve">Unclear (no data-centre category in Decree 260 or Decision 21)</w:t>
            </w:r>
          </w:p>
        </w:tc>
      </w:tr>
      <w:tr>
        <w:tc>
          <w:tcPr/>
          <w:p>
            <w:pPr>
              <w:pStyle w:val="Compact"/>
              <w:jc w:val="left"/>
            </w:pPr>
            <w:r>
              <w:rPr>
                <w:sz w:val="17"/>
              </w:rPr>
              <w:t xml:space="preserve">Malaysia</w:t>
            </w:r>
          </w:p>
        </w:tc>
        <w:tc>
          <w:tcPr/>
          <w:p>
            <w:pPr>
              <w:pStyle w:val="Compact"/>
              <w:jc w:val="left"/>
            </w:pPr>
            <w:r>
              <w:rPr>
                <w:sz w:val="17"/>
              </w:rPr>
              <w:t xml:space="preserve">Eligible (MD; audited declaration at own cost)</w:t>
            </w:r>
          </w:p>
        </w:tc>
        <w:tc>
          <w:tcPr/>
          <w:p>
            <w:pPr>
              <w:pStyle w:val="Compact"/>
              <w:jc w:val="left"/>
            </w:pPr>
            <w:r>
              <w:rPr>
                <w:sz w:val="17"/>
              </w:rPr>
              <w:t xml:space="preserve">Possibly eligible under MD; unlikely under DESAC</w:t>
            </w:r>
          </w:p>
        </w:tc>
        <w:tc>
          <w:tcPr/>
          <w:p>
            <w:pPr>
              <w:pStyle w:val="Compact"/>
              <w:jc w:val="left"/>
            </w:pPr>
            <w:r>
              <w:rPr>
                <w:sz w:val="17"/>
              </w:rPr>
              <w:t xml:space="preserve">Eligible to apply under DESAC (falls in the 0.85 to 4.25 MW category; RM2.5m paid-up capital; committee approval is discretionary)</w:t>
            </w:r>
          </w:p>
        </w:tc>
      </w:tr>
      <w:tr>
        <w:tc>
          <w:tcPr/>
          <w:p>
            <w:pPr>
              <w:pStyle w:val="Compact"/>
              <w:jc w:val="left"/>
            </w:pPr>
            <w:r>
              <w:rPr>
                <w:sz w:val="17"/>
              </w:rPr>
              <w:t xml:space="preserve">Philippines</w:t>
            </w:r>
          </w:p>
        </w:tc>
        <w:tc>
          <w:tcPr/>
          <w:p>
            <w:pPr>
              <w:pStyle w:val="Compact"/>
              <w:jc w:val="left"/>
            </w:pPr>
            <w:r>
              <w:rPr>
                <w:sz w:val="17"/>
              </w:rPr>
              <w:t xml:space="preserve">Eligible if listed, subject to cost-benefit evaluation</w:t>
            </w:r>
          </w:p>
        </w:tc>
        <w:tc>
          <w:tcPr/>
          <w:p>
            <w:pPr>
              <w:pStyle w:val="Compact"/>
              <w:jc w:val="left"/>
            </w:pPr>
            <w:r>
              <w:rPr>
                <w:sz w:val="17"/>
              </w:rPr>
              <w:t xml:space="preserve">Unclear (not clearly a hyperscaler or a data centre as the SIPP defines it)</w:t>
            </w:r>
          </w:p>
        </w:tc>
        <w:tc>
          <w:tcPr/>
          <w:p>
            <w:pPr>
              <w:pStyle w:val="Compact"/>
              <w:jc w:val="left"/>
            </w:pPr>
            <w:r>
              <w:rPr>
                <w:sz w:val="17"/>
              </w:rPr>
              <w:t xml:space="preserve">Possibly eligible (colocation fits the SIPP definition; no size condition)</w:t>
            </w:r>
          </w:p>
        </w:tc>
      </w:tr>
    </w:tbl>
    <w:p>
      <w:pPr>
        <w:pStyle w:val="BodyText"/>
        <w:spacing w:line="480" w:lineRule="auto"/>
        <w:jc w:val="left"/>
      </w:pPr>
      <w:r>
        <w:rPr>
          <w:iCs/>
          <w:i/>
        </w:rPr>
        <w:t xml:space="preserve">Note.</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spacing w:line="480" w:lineRule="auto"/>
        <w:jc w:val="left"/>
      </w:pPr>
      <w:r>
        <w:br w:type="page"/>
      </w:r>
    </w:p>
    <w:p>
      <w:pPr>
        <w:pStyle w:val="BodyText"/>
        <w:spacing w:line="480" w:lineRule="auto"/>
        <w:jc w:val="left"/>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jc w:val="left"/>
            </w:pPr>
            <w:r>
              <w:rPr>
                <w:b/>
                <w:sz w:val="17"/>
              </w:rPr>
              <w:t xml:space="preserve">#</w:t>
            </w:r>
          </w:p>
        </w:tc>
        <w:tc>
          <w:tcPr/>
          <w:p>
            <w:pPr>
              <w:pStyle w:val="Compact"/>
              <w:jc w:val="left"/>
            </w:pPr>
            <w:r>
              <w:rPr>
                <w:b/>
                <w:sz w:val="17"/>
              </w:rPr>
              <w:t xml:space="preserve">Evidence</w:t>
            </w:r>
          </w:p>
        </w:tc>
        <w:tc>
          <w:tcPr/>
          <w:p>
            <w:pPr>
              <w:pStyle w:val="Compact"/>
              <w:jc w:val="left"/>
            </w:pPr>
            <w:r>
              <w:rPr>
                <w:b/>
                <w:sz w:val="17"/>
              </w:rPr>
              <w:t xml:space="preserve">H1</w:t>
            </w:r>
          </w:p>
        </w:tc>
        <w:tc>
          <w:tcPr/>
          <w:p>
            <w:pPr>
              <w:pStyle w:val="Compact"/>
              <w:jc w:val="left"/>
            </w:pPr>
            <w:r>
              <w:rPr>
                <w:b/>
                <w:sz w:val="17"/>
              </w:rPr>
              <w:t xml:space="preserve">H2</w:t>
            </w:r>
          </w:p>
        </w:tc>
        <w:tc>
          <w:tcPr/>
          <w:p>
            <w:pPr>
              <w:pStyle w:val="Compact"/>
              <w:jc w:val="left"/>
            </w:pPr>
            <w:r>
              <w:rPr>
                <w:b/>
                <w:sz w:val="17"/>
              </w:rPr>
              <w:t xml:space="preserve">H3</w:t>
            </w:r>
          </w:p>
        </w:tc>
        <w:tc>
          <w:tcPr/>
          <w:p>
            <w:pPr>
              <w:pStyle w:val="Compact"/>
              <w:jc w:val="left"/>
            </w:pPr>
            <w:r>
              <w:rPr>
                <w:b/>
                <w:sz w:val="17"/>
              </w:rPr>
              <w:t xml:space="preserve">Pair separated, weight</w:t>
            </w:r>
          </w:p>
        </w:tc>
      </w:tr>
      <w:tr>
        <w:tc>
          <w:tcPr/>
          <w:p>
            <w:pPr>
              <w:pStyle w:val="Compact"/>
              <w:jc w:val="left"/>
            </w:pPr>
            <w:r>
              <w:rPr>
                <w:sz w:val="17"/>
              </w:rPr>
              <w:t xml:space="preserve">E2</w:t>
            </w:r>
          </w:p>
        </w:tc>
        <w:tc>
          <w:tcPr/>
          <w:p>
            <w:pPr>
              <w:pStyle w:val="Compact"/>
              <w:jc w:val="left"/>
            </w:pPr>
            <w:r>
              <w:rPr>
                <w:sz w:val="17"/>
              </w:rPr>
              <w:t xml:space="preserve">Low-capital digital track covers cloud beside a 0.85 MW data-centre track (Malaysia)</w:t>
            </w:r>
          </w:p>
        </w:tc>
        <w:tc>
          <w:tcPr/>
          <w:p>
            <w:pPr>
              <w:pStyle w:val="Compact"/>
              <w:jc w:val="left"/>
            </w:pPr>
            <w:r>
              <w:rPr>
                <w:sz w:val="17"/>
              </w:rPr>
              <w:t xml:space="preserve">C</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H2 against H1 and H3, moderate and provisional</w:t>
            </w:r>
          </w:p>
        </w:tc>
      </w:tr>
      <w:tr>
        <w:tc>
          <w:tcPr/>
          <w:p>
            <w:pPr>
              <w:pStyle w:val="Compact"/>
              <w:jc w:val="left"/>
            </w:pPr>
            <w:r>
              <w:rPr>
                <w:sz w:val="17"/>
              </w:rPr>
              <w:t xml:space="preserve">E3</w:t>
            </w:r>
          </w:p>
        </w:tc>
        <w:tc>
          <w:tcPr/>
          <w:p>
            <w:pPr>
              <w:pStyle w:val="Compact"/>
              <w:jc w:val="left"/>
            </w:pPr>
            <w:r>
              <w:rPr>
                <w:sz w:val="17"/>
              </w:rPr>
              <w:t xml:space="preserve">No instrument aimed at sub-facility compute (Thailand, Vietnam, Philippines)</w:t>
            </w:r>
          </w:p>
        </w:tc>
        <w:tc>
          <w:tcPr/>
          <w:p>
            <w:pPr>
              <w:pStyle w:val="Compact"/>
              <w:jc w:val="left"/>
            </w:pPr>
            <w:r>
              <w:rPr>
                <w:sz w:val="17"/>
              </w:rPr>
              <w:t xml:space="preserve">U if A1 holds</w:t>
            </w:r>
          </w:p>
        </w:tc>
        <w:tc>
          <w:tcPr/>
          <w:p>
            <w:pPr>
              <w:pStyle w:val="Compact"/>
              <w:jc w:val="left"/>
            </w:pPr>
            <w:r>
              <w:rPr>
                <w:sz w:val="17"/>
              </w:rPr>
              <w:t xml:space="preserve">E if A1 holds</w:t>
            </w:r>
          </w:p>
        </w:tc>
        <w:tc>
          <w:tcPr/>
          <w:p>
            <w:pPr>
              <w:pStyle w:val="Compact"/>
              <w:jc w:val="left"/>
            </w:pPr>
            <w:r>
              <w:rPr>
                <w:sz w:val="17"/>
              </w:rPr>
              <w:t xml:space="preserve">E</w:t>
            </w:r>
          </w:p>
        </w:tc>
        <w:tc>
          <w:tcPr/>
          <w:p>
            <w:pPr>
              <w:pStyle w:val="Compact"/>
              <w:jc w:val="left"/>
            </w:pPr>
            <w:r>
              <w:rPr>
                <w:sz w:val="17"/>
              </w:rPr>
              <w:t xml:space="preserve">H1 against {H2, H3}, weak to moderate; A1 holds only above about US$3.00 per GPU-hour</w:t>
            </w:r>
          </w:p>
        </w:tc>
      </w:tr>
      <w:tr>
        <w:tc>
          <w:tcPr/>
          <w:p>
            <w:pPr>
              <w:pStyle w:val="Compact"/>
              <w:jc w:val="left"/>
            </w:pPr>
            <w:r>
              <w:rPr>
                <w:sz w:val="17"/>
              </w:rPr>
              <w:t xml:space="preserve">E4</w:t>
            </w:r>
          </w:p>
        </w:tc>
        <w:tc>
          <w:tcPr/>
          <w:p>
            <w:pPr>
              <w:pStyle w:val="Compact"/>
              <w:jc w:val="left"/>
            </w:pPr>
            <w:r>
              <w:rPr>
                <w:sz w:val="17"/>
              </w:rPr>
              <w:t xml:space="preserve">No capital condition at the compute layers despite capital intensity (Vietnam,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H1 against {H2, H3}, moderate</w:t>
            </w:r>
          </w:p>
        </w:tc>
      </w:tr>
      <w:tr>
        <w:tc>
          <w:tcPr/>
          <w:p>
            <w:pPr>
              <w:pStyle w:val="Compact"/>
              <w:jc w:val="left"/>
            </w:pPr>
            <w:r>
              <w:rPr>
                <w:sz w:val="17"/>
              </w:rPr>
              <w:t xml:space="preserve">E5</w:t>
            </w:r>
          </w:p>
        </w:tc>
        <w:tc>
          <w:tcPr/>
          <w:p>
            <w:pPr>
              <w:pStyle w:val="Compact"/>
              <w:jc w:val="left"/>
            </w:pPr>
            <w:r>
              <w:rPr>
                <w:sz w:val="17"/>
              </w:rPr>
              <w:t xml:space="preserve">Exemption extension tied to spending of 1% of sales (Thailand)</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E</w:t>
            </w:r>
          </w:p>
        </w:tc>
        <w:tc>
          <w:tcPr/>
          <w:p>
            <w:pPr>
              <w:pStyle w:val="Compact"/>
              <w:jc w:val="left"/>
            </w:pPr>
            <w:r>
              <w:rPr>
                <w:sz w:val="17"/>
              </w:rPr>
              <w:t xml:space="preserve">H1 against {H2, H3}, moderate</w:t>
            </w:r>
          </w:p>
        </w:tc>
      </w:tr>
      <w:tr>
        <w:tc>
          <w:tcPr/>
          <w:p>
            <w:pPr>
              <w:pStyle w:val="Compact"/>
              <w:jc w:val="left"/>
            </w:pPr>
            <w:r>
              <w:rPr>
                <w:sz w:val="17"/>
              </w:rPr>
              <w:t xml:space="preserve">E6</w:t>
            </w:r>
          </w:p>
        </w:tc>
        <w:tc>
          <w:tcPr/>
          <w:p>
            <w:pPr>
              <w:pStyle w:val="Compact"/>
              <w:jc w:val="left"/>
            </w:pPr>
            <w:r>
              <w:rPr>
                <w:sz w:val="17"/>
              </w:rPr>
              <w:t xml:space="preserve">Fixed certification and audit costs on low-capital cloud routes (Thailand, Malaysia)</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C</w:t>
            </w:r>
          </w:p>
        </w:tc>
        <w:tc>
          <w:tcPr/>
          <w:p>
            <w:pPr>
              <w:pStyle w:val="Compact"/>
              <w:jc w:val="left"/>
            </w:pPr>
            <w:r>
              <w:rPr>
                <w:sz w:val="17"/>
              </w:rPr>
              <w:t xml:space="preserve">H1 against H2, moderate, cost unmeasured</w:t>
            </w:r>
          </w:p>
        </w:tc>
      </w:tr>
      <w:tr>
        <w:tc>
          <w:tcPr/>
          <w:p>
            <w:pPr>
              <w:pStyle w:val="Compact"/>
              <w:jc w:val="left"/>
            </w:pPr>
            <w:r>
              <w:rPr>
                <w:sz w:val="17"/>
              </w:rPr>
              <w:t xml:space="preserve">E7</w:t>
            </w:r>
          </w:p>
        </w:tc>
        <w:tc>
          <w:tcPr/>
          <w:p>
            <w:pPr>
              <w:pStyle w:val="Compact"/>
              <w:jc w:val="left"/>
            </w:pPr>
            <w:r>
              <w:rPr>
                <w:sz w:val="17"/>
              </w:rPr>
              <w:t xml:space="preserve">Firm-scale boundary common to all activities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E</w:t>
            </w:r>
          </w:p>
        </w:tc>
        <w:tc>
          <w:tcPr/>
          <w:p>
            <w:pPr>
              <w:pStyle w:val="Compact"/>
              <w:jc w:val="left"/>
            </w:pPr>
            <w:r>
              <w:rPr>
                <w:sz w:val="17"/>
              </w:rPr>
              <w:t xml:space="preserve">H3 against H1, weak to moderate</w:t>
            </w:r>
          </w:p>
        </w:tc>
      </w:tr>
      <w:tr>
        <w:tc>
          <w:tcPr/>
          <w:p>
            <w:pPr>
              <w:pStyle w:val="Compact"/>
              <w:jc w:val="left"/>
            </w:pPr>
            <w:r>
              <w:rPr>
                <w:sz w:val="17"/>
              </w:rPr>
              <w:t xml:space="preserve">E8</w:t>
            </w:r>
          </w:p>
        </w:tc>
        <w:tc>
          <w:tcPr/>
          <w:p>
            <w:pPr>
              <w:pStyle w:val="Compact"/>
              <w:jc w:val="left"/>
            </w:pPr>
            <w:r>
              <w:rPr>
                <w:sz w:val="17"/>
              </w:rPr>
              <w:t xml:space="preserve">Explicit startup track with direct support (Vietnam)</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None</w:t>
            </w:r>
          </w:p>
        </w:tc>
      </w:tr>
    </w:tbl>
    <w:p>
      <w:pPr>
        <w:pStyle w:val="BodyText"/>
        <w:spacing w:line="480" w:lineRule="auto"/>
        <w:jc w:val="left"/>
      </w:pPr>
      <w:r>
        <w:rPr>
          <w:iCs/>
          <w:i/>
        </w:rPr>
        <w:t xml:space="preserve">Note.</w:t>
      </w:r>
      <w:r>
        <w:t xml:space="preserve"> </w:t>
      </w:r>
      <w:r>
        <w:t xml:space="preserve">E = expected; C = compatible; U = unexpected. Predictions P1a to P3c as in Section 2.4.</w:t>
      </w:r>
    </w:p>
    <w:p>
      <w:pPr>
        <w:spacing w:line="480" w:lineRule="auto"/>
        <w:jc w:val="left"/>
      </w:pPr>
      <w:r>
        <w:br w:type="page"/>
      </w:r>
    </w:p>
    <w:p>
      <w:pPr>
        <w:pStyle w:val="CaptionedFigure"/>
        <w:spacing w:line="480" w:lineRule="auto"/>
        <w:jc w:val="left"/>
      </w:pPr>
      <w:r>
        <w:drawing>
          <wp:inline>
            <wp:extent cx="5334000" cy="3531972"/>
            <wp:effectExtent b="0" l="0" r="0" t="0"/>
            <wp:docPr descr="Figure 1. 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 title="" id="48" name="Picture"/>
            <a:graphic>
              <a:graphicData uri="http://schemas.openxmlformats.org/drawingml/2006/picture">
                <pic:pic>
                  <pic:nvPicPr>
                    <pic:cNvPr descr="fig1_threshold_ladder.png" id="49" name="Picture"/>
                    <pic:cNvPicPr>
                      <a:picLocks noChangeArrowheads="1" noChangeAspect="1"/>
                    </pic:cNvPicPr>
                  </pic:nvPicPr>
                  <pic:blipFill>
                    <a:blip r:embed="rId47"/>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spacing w:line="480" w:lineRule="auto"/>
        <w:jc w:val="left"/>
      </w:pPr>
      <w:r>
        <w:rPr>
          <w:bCs/>
          <w:b/>
        </w:rPr>
        <w:t xml:space="preserve">Figure 1.</w:t>
      </w:r>
      <w:r>
        <w:t xml:space="preserve"> </w:t>
      </w:r>
      <w:r>
        <w:t xml:space="preserve">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w:t>
      </w:r>
    </w:p>
    <w:bookmarkEnd w:id="50"/>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2"/>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rPr>
      <w:rFonts w:ascii="Times New Roman" w:hAnsi="Times New Roman" w:cs="Times New Roman" w:eastAsia="Times New Roman"/>
      <w:color w:val="000000"/>
      <w:sz w:val="22"/>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pPr>
    <w:rPr>
      <w:rFonts w:ascii="Times New Roman" w:hAnsi="Times New Roman" w:cs="Times New Roman" w:eastAsia="Times New Roman"/>
      <w:color w:val="000000"/>
    </w:rPr>
  </w:style>
  <w:style w:customStyle="1" w:styleId="ImageCaption" w:type="paragraph">
    <w:name w:val="Image Caption"/>
    <w:basedOn w:val="Caption"/>
    <w:rPr>
      <w:rFonts w:ascii="Times New Roman" w:hAnsi="Times New Roman" w:cs="Times New Roman" w:eastAsia="Times New Roman"/>
      <w:color w:val="00000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Investment Incentives and Entry into the AI Stack in Southeast Asia</dc:title>
  <dc:creator/>
  <cp:keywords/>
  <dcterms:created xsi:type="dcterms:W3CDTF">2026-10-20T13:27:51Z</dcterms:created>
  <dcterms:modified xsi:type="dcterms:W3CDTF">2026-10-20T13:27:51Z</dcterms:modified>
</cp:coreProperties>
</file>

<file path=docProps/custom.xml><?xml version="1.0" encoding="utf-8"?>
<Properties xmlns="http://schemas.openxmlformats.org/officeDocument/2006/custom-properties" xmlns:vt="http://schemas.openxmlformats.org/officeDocument/2006/docPropsVTypes"/>
</file>