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Incentive</w:t>
      </w:r>
      <w:r>
        <w:t xml:space="preserve"> </w:t>
      </w:r>
      <w:r>
        <w:t xml:space="preserve">Design</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Evidence</w:t>
      </w:r>
      <w:r>
        <w:t xml:space="preserve"> </w:t>
      </w:r>
      <w:r>
        <w:t xml:space="preserve">from</w:t>
      </w:r>
      <w:r>
        <w:t xml:space="preserve"> </w:t>
      </w:r>
      <w:r>
        <w:t xml:space="preserve">Thailand,</w:t>
      </w:r>
      <w:r>
        <w:t xml:space="preserve"> </w:t>
      </w:r>
      <w:r>
        <w:t xml:space="preserve">Vietnam,</w:t>
      </w:r>
      <w:r>
        <w:t xml:space="preserve"> </w:t>
      </w:r>
      <w:r>
        <w:t xml:space="preserve">Malaysia</w:t>
      </w:r>
      <w:r>
        <w:t xml:space="preserve"> </w:t>
      </w:r>
      <w:r>
        <w:t xml:space="preserve">and</w:t>
      </w:r>
      <w:r>
        <w:t xml:space="preserve"> </w:t>
      </w:r>
      <w:r>
        <w:t xml:space="preserve">the</w:t>
      </w:r>
      <w:r>
        <w:t xml:space="preserve"> </w:t>
      </w:r>
      <w:r>
        <w:t xml:space="preserve">Philippines</w:t>
      </w:r>
    </w:p>
    <w:p>
      <w:pPr>
        <w:pStyle w:val="FirstParagraph"/>
      </w:pPr>
      <w:r>
        <w:rPr>
          <w:bCs/>
          <w:b/>
        </w:rPr>
        <w:t xml:space="preserve">[DRAFT FOR AUTHOR REVIEW. Items marked PENDING need data or confirmation that only the authors can supply. Items marked CITATION NEEDED or VERIFY need a source check before submission. Search the file for</w:t>
      </w:r>
      <w:r>
        <w:rPr>
          <w:bCs/>
          <w:b/>
        </w:rPr>
        <w:t xml:space="preserve"> </w:t>
      </w:r>
      <w:r>
        <w:rPr>
          <w:bCs/>
          <w:b/>
        </w:rPr>
        <w:t xml:space="preserve">“</w:t>
      </w:r>
      <w:r>
        <w:rPr>
          <w:bCs/>
          <w:b/>
        </w:rPr>
        <w:t xml:space="preserve">PENDING</w:t>
      </w:r>
      <w:r>
        <w:rPr>
          <w:bCs/>
          <w:b/>
        </w:rPr>
        <w:t xml:space="preserve">”</w:t>
      </w:r>
      <w:r>
        <w:rPr>
          <w:bCs/>
          <w:b/>
        </w:rPr>
        <w:t xml:space="preserve">,</w:t>
      </w:r>
      <w:r>
        <w:rPr>
          <w:bCs/>
          <w:b/>
        </w:rPr>
        <w:t xml:space="preserve"> </w:t>
      </w:r>
      <w:r>
        <w:rPr>
          <w:bCs/>
          <w:b/>
        </w:rPr>
        <w:t xml:space="preserve">“</w:t>
      </w:r>
      <w:r>
        <w:rPr>
          <w:bCs/>
          <w:b/>
        </w:rPr>
        <w:t xml:space="preserve">CITATION NEEDED</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VERIFY</w:t>
      </w:r>
      <w:r>
        <w:rPr>
          <w:bCs/>
          <w:b/>
        </w:rPr>
        <w:t xml:space="preserve">”</w:t>
      </w:r>
      <w:r>
        <w:rPr>
          <w:bCs/>
          <w:b/>
        </w:rPr>
        <w:t xml:space="preserve">.]</w:t>
      </w:r>
    </w:p>
    <w:bookmarkStart w:id="20" w:name="abstract"/>
    <w:p>
      <w:pPr>
        <w:pStyle w:val="Heading2"/>
      </w:pPr>
      <w:r>
        <w:t xml:space="preserve">Abstract</w:t>
      </w:r>
    </w:p>
    <w:p>
      <w:pPr>
        <w:pStyle w:val="FirstParagraph"/>
      </w:pPr>
      <w:r>
        <w:t xml:space="preserve">Governments in Southeast Asia have made artificial intelligence (AI) a pillar of industrial policy, but little is known about which firms their incentive instruments allow in. We ask how the eligibility rules of AI-related investment incentives in Thailand, Vietnam, Malaysia and the Philippines shape entry into four layers of the AI technology stack (applications and models, cloud and compute services, data-centre capacity, hardware), and whether the pattern is better explained by cost necessity, scale-favouring design or administrative habit. We code about 20 instruments from primary legal texts on five dimensions and, for Thailand, compare eligibility rules with published project approvals. All four countries make application-layer support accessible to small firms. Thailand and Malaysia put the main barrier at data-centre capacity, Vietnam puts its boundary at hardware manufacture, and the Philippines applies scale tiers regardless of activity. The four systems fall into four architectures: a single gate (Thailand), a graduated ladder (Malaysia), a priority list without capital rules (Vietnam) and uniform scale tiers (the Philippines). In Thailand, Vietnam and the Philippines we found no AI-related instrument for compute provision below facility scale; Malaysia’s ladder starts closer to that scale, but whether a small provider can use it is not yet verified. Published cost benchmarks explain the height of infrastructure thresholds but not this gap. The evidence describes legal eligibility, not realised access, and does not show that a middle-technology trap exists. It locates a specific design gap that firm-level studies can test.</w:t>
      </w:r>
    </w:p>
    <w:p>
      <w:pPr>
        <w:pStyle w:val="BodyText"/>
      </w:pPr>
      <w:r>
        <w:rPr>
          <w:bCs/>
          <w:b/>
        </w:rPr>
        <w:t xml:space="preserve">Keywords:</w:t>
      </w:r>
      <w:r>
        <w:t xml:space="preserve"> </w:t>
      </w:r>
      <w:r>
        <w:t xml:space="preserve">AI industrial policy; investment incentives; middle-income trap; middle-technology trap; policy design; Southeast Asia</w:t>
      </w:r>
    </w:p>
    <w:p>
      <w:pPr>
        <w:pStyle w:val="BodyText"/>
      </w:pPr>
      <w:r>
        <w:rPr>
          <w:bCs/>
          <w:b/>
        </w:rPr>
        <w:t xml:space="preserve">JEL classification:</w:t>
      </w:r>
      <w:r>
        <w:t xml:space="preserve"> </w:t>
      </w:r>
      <w:r>
        <w:t xml:space="preserve">O25; O38; O53; H25; L52</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puts this requirement under a new test. It bears on the move from middle to high income because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what foreign providers supply, more of the gain is likely to accrue elsewhere (Cerutti et al., 2025; Lehdonvirta, Wú and Hawkins, 2024). Governments in the region have taken up the question. Thailand, Vietnam, Malaysia and the Philippines have each written AI into their investment incentive systems, and each offers tax or other support to firms that meet stated eligibility rules. Those rules decide which firms can take part in which part of the AI industry. A rule that a firm must hold several hundred million dollars in capital, or must already earn taxable profit, admits some firms and excludes others, whatever the size of the budget behind it. Yet the existing literature measures how much governments spend or announce, not who can qualify.</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How do eligibility rules differ across four layers of the AI technology stack, along three dimensions of accessibility: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Does any AI-related instrument address compute provision below the scale of a full data-centre facility, the scale at which a small domestic firm could realistically start?</w:t>
      </w:r>
    </w:p>
    <w:p>
      <w:pPr>
        <w:numPr>
          <w:ilvl w:val="0"/>
          <w:numId w:val="1001"/>
        </w:numPr>
        <w:pStyle w:val="Compact"/>
      </w:pPr>
      <w:r>
        <w:rPr>
          <w:bCs/>
          <w:b/>
        </w:rPr>
        <w:t xml:space="preserve">RQ3.</w:t>
      </w:r>
      <w:r>
        <w:t xml:space="preserve"> </w:t>
      </w:r>
      <w:r>
        <w:t xml:space="preserve">Is the pattern better explained by cost necessity (H1), scale-favouring design (H2) or administrative habit (H3)?</w:t>
      </w:r>
    </w:p>
    <w:p>
      <w:pPr>
        <w:pStyle w:val="FirstParagraph"/>
      </w:pPr>
      <w:r>
        <w:t xml:space="preserve">We code the primary legal texts of the four countries and, for Thailand, set the formal rules against published project approvals. Our main results are as follows. All four countries make application-layer support accessible to small firms, and Vietnam adds an explicit startup track with direct equity access. The boundary above the application layer falls in different places: at data-centre capacity in Thailand (a single capital cutoff) and Malaysia (a graduated scale), at hardware manufacture in Vietnam, and nowhere by activity in the Philippines, which applies firm-scale tiers uniformly. The four systems also differ in architecture: a single gate (Thailand), a graduated ladder (Malaysia), a priority list without capital rules (Vietnam) and uniform scale tiers (the Philippines). In three of the four we found no AI-related instrument aimed at compute provision below facility scale. Malaysia’s ladder starts at a paid-up capital close to the cost of hosting a single fully equipped server, which makes it the one design that could reach that scale, and we have not yet verified whether a small provider can use it. Cost benchmarks account for the height of the infrastructure thresholds (the most visible pattern, and a weak test of design bias, as we show in Section 3.4) but not for the gap in the other three. We emphasise three limits at the outset. The evidence concerns legal eligibility, not realised access or firm outcomes. The coding has not yet been checked by a second coder. And the data do not show that any of the four countries is in a middle-technology trap.</w:t>
      </w:r>
    </w:p>
    <w:p>
      <w:pPr>
        <w:pStyle w:val="BodyText"/>
      </w:pPr>
      <w:r>
        <w:t xml:space="preserve">The paper makes four contributions. First, it provides a four-layer coding of AI incentive instruments that distinguishes layer, scale and firm vintage, which a software-versus-hardware split cannot do. Second, it classifies the four systems into four incentive architectures (gate, ladder, list, tier) and states what each implies for a small entrant, a typology other countries and technologies can reuse. Third, it identifies a specific design gap, the absence of instruments below facility scale in three of the four systems, places it on a common cost scale (Figure 1), and tests it against the best available cost-based explanation. Fourth, it sets out an evidence matrix that separates the observations that discriminate between explanations from those that do not, so that readers can see which claims rest on which evidence.</w:t>
      </w:r>
    </w:p>
    <w:p>
      <w:pPr>
        <w:pStyle w:val="BodyText"/>
      </w:pPr>
      <w:r>
        <w:t xml:space="preserve">The rest of the paper is organised as follows. Section 2 relates the middle-income and middle-technology traps, reviews the AI literature, and derives the hypotheses. Section 3 describes the design. Section 4 reports the findings by country and across countries. Section 5 assesses the explanations. Section 6 draws policy implications and Section 7 states the limitations. Section 8 concludes.</w:t>
      </w:r>
    </w:p>
    <w:p>
      <w:pPr>
        <w:pStyle w:val="BodyText"/>
      </w:pPr>
      <w:r>
        <w:t xml:space="preserve">The reclassification of Vietnam and the Philippines as upper-middle-income economies on 1 July 2026 gives the question topical weight (Ang, 2026), but the case for the study does not rest on it. It rests on the fact that no existing study maps, instrument by instrument, who can enter the AI industry under the rules these governments have written.</w:t>
      </w:r>
    </w:p>
    <w:bookmarkEnd w:id="21"/>
    <w:bookmarkStart w:id="27" w:name="conceptual-framework-and-hypotheses"/>
    <w:p>
      <w:pPr>
        <w:pStyle w:val="Heading2"/>
      </w:pPr>
      <w:r>
        <w:t xml:space="preserve">2. Conceptual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Gill and Kharas (2007) argued that middle-income economies must shift from diversification to specialisation, from investment-led to innovation-led growth, and from adapting technology to creating it. Eichengreen, Park and Shin (2012, 2014) located growth slowdowns near US$10,000 to 11,000 and US$15,000 to 16,000 per capita (2005 purchasing power) and attributed them mainly to falling total factor productivity. Imam and Temple (2026) find that capital intensity and human capital converge to the frontier over time but relative total factor productivity does not. Bianchi, Isabella, Martinis and Picasso (2024) classify trapped economies by the trajectory of export complexity, placing Thailand and Malaysia in the most favourable of three categories.</w:t>
      </w:r>
    </w:p>
    <w:p>
      <w:pPr>
        <w:pStyle w:val="BodyText"/>
      </w:pPr>
      <w:r>
        <w:t xml:space="preserve">The middle-technology trap concerns the technological composition of an economy. It has two lineages. The first, developed by Ke (2024) with reference to Zheng (2024), covers Malaysia, Thailand, Indonesia and the Philippines (the</w:t>
      </w:r>
      <w:r>
        <w:t xml:space="preserve"> </w:t>
      </w:r>
      <w:r>
        <w:t xml:space="preserve">“</w:t>
      </w:r>
      <w:r>
        <w:t xml:space="preserve">ASEAN Four</w:t>
      </w:r>
      <w:r>
        <w:t xml:space="preserve">”</w:t>
      </w:r>
      <w:r>
        <w:t xml:space="preserve">) and attributes stagnation to FDI-led industrialisation in which multinationals keep core technology at home and transfer only mature technology. The second begins with the argument that the European Union over-invests in mature mid-technology sectors at the expense of frontier activity (Fuest, Gros, Mengel, Presidente and Tirole, 2024). Bahar, Gadgin Matha, Hausmann and Segovia (2026) apply it to Japan: research intensity is near the top of the OECD, yet labour-productivity growth has been flat since 2000, because more than half of private research spending goes to mature industries while high-technology sectors receive 35 to 40 per cent. They attribute this to incentives delivered mainly through indirect tax credits, which presuppose taxable profit and scale and so favour large incumbents.</w:t>
      </w:r>
    </w:p>
    <w:p>
      <w:pPr>
        <w:pStyle w:val="BodyText"/>
      </w:pPr>
      <w:r>
        <w:t xml:space="preserve">The two traps are related but not equivalent, and the paper needs a position on how. We treat the middle-technology trap as a mechanism that can contribute to a middle-income trap, not as a synonym for it. The transmission runs through productivity: if domestic firms cannot move into the technology layers that carry rising returns, total factor productivity growth stalls, and stalled productivity growth is what the income-trap literature identifies as the proximate cause of slowdowns (Eichengreen, Park and Shin, 2014; Imam and Temple, 2026). The reverse does not hold. A country can be income-trapped for institutional reasons without being technologically trapped, and the middle-technology trap can also arise at other income levels. Japan, which was already a high-income economy in the period Bahar et al. (2026) study, shows exactly that. It is relevant here for a different reason than its income level: it shows that the mechanism (incentive design that channels support to mature activity and to firms able to use it) operates without any foreign actor and without a low income. If the mechanism can persist in a high-income economy with high research intensity, it can also operate earlier, while a middle-income country is still choosing which activities its incentives reach. The question for the four countries is therefore whether their AI incentive design could impede the transition from middle to high income by restricting domestic entry into the technology layers that carry rising returns. We follow the second lineage because it identifies a domestically generated mechanism, incentive design, that requires no foreign actor to operate. We also record the political-economy account of Doner and Schneider (2016), who argue that the trap reflects coalition failure, with business fragmented along cleavages such as firm size and foreign versus domestic ownership. Our analysis does not test coalitions, but their argument tells us what ownership patterns could and could not mean (Section 5.2).</w:t>
      </w:r>
    </w:p>
    <w:p>
      <w:pPr>
        <w:pStyle w:val="BodyText"/>
      </w:pPr>
      <w:r>
        <w:rPr>
          <w:bCs/>
          <w:b/>
        </w:rPr>
        <w:t xml:space="preserve">Operationalisation, and what this paper measures.</w:t>
      </w:r>
      <w:r>
        <w:t xml:space="preserve"> </w:t>
      </w:r>
      <w:r>
        <w:t xml:space="preserve">The existing literature identifies a middle-technology trap by outcomes: persistently low research intensity and limited indigenous capability (Ke, 2024), or the allocation of research spending between mature and high-technology sectors together with flat productivity growth (Bahar et al., 2026). This paper observes none of these outcomes. It does not measure a trap, and it does not estimate the probability of one. It identifies</w:t>
      </w:r>
      <w:r>
        <w:t xml:space="preserve"> </w:t>
      </w:r>
      <w:r>
        <w:rPr>
          <w:iCs/>
          <w:i/>
        </w:rPr>
        <w:t xml:space="preserve">features of incentive design that could contribute to a middle-technology trap</w:t>
      </w:r>
      <w:r>
        <w:t xml:space="preserve">, upstream of those outcomes. We define the feature of interest as follows: the instruments supporting AI let domestic firms enter the application layer, while the layers that supply compute are reachable only by firms already holding very large capital. We observe three indicators of it: (a) an eligibility asymmetry across layers, (b) the absence of intermediate-entry instruments, and (c) ownership concentration in approved projects where data exist. These indicators describe an opportunity structure for firms. Whether that structure leads to a trap depends on firm behaviour and outcomes that we do not observe.</w:t>
      </w:r>
      <w:r>
        <w:t xml:space="preserve"> </w:t>
      </w:r>
      <w:r>
        <w:rPr>
          <w:bCs/>
          <w:b/>
        </w:rPr>
        <w:t xml:space="preserve">[VERIFY: check how Ke (2024), Zheng (2024) and Bahar et al. (2026) operationalise the trap against the full texts, and cite the specific indicators they use.]</w:t>
      </w:r>
    </w:p>
    <w:bookmarkEnd w:id="22"/>
    <w:bookmarkStart w:id="23" w:name="X906a2f80e0b74498aa330f40d5287fb35743a8f"/>
    <w:p>
      <w:pPr>
        <w:pStyle w:val="Heading3"/>
      </w:pPr>
      <w:r>
        <w:t xml:space="preserve">2.2 AI: short-cycle opportunity or compute concentration</w:t>
      </w:r>
    </w:p>
    <w:p>
      <w:pPr>
        <w:pStyle w:val="FirstParagraph"/>
      </w:pPr>
      <w:r>
        <w:t xml:space="preserve">Two readings of AI compete. Lee (2013, 2019) argues that latecomers advance fastest in domains where knowledge becomes obsolete quickly, since such domains reward agility over accumulated advantage; AI plausibly fits. The sceptical reading holds that AI favours economies that already hold digital infrastructure, data and skilled labour (Abdurohman and Huang, 2026). Cerutti et al. (2025) find in a general-equilibrium model that AI productivity gains concentrate in advanced economies’ non-tradable sectors, and that under limited access output growth falls by about one percentage point in emerging markets excluding China and in low-income countries. Alonso, Berg, Kothari, Papageorgiou and Rehman (2020) find divergence from labour-substituting automation. For the offshoring route that the Philippines relies on, Schellekens and Skilling (2024) warn of erosion, Ide and Talamàs (2025, 2026) show that the outcome depends on how sophisticated AI becomes, and the OECD (2024) notes that soft-skill requirements limit cross-border substitution. On geography, Lehdonvirta, Wú and Hawkins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 Lee, Wong, Intarakumnerd and Limapornvanich (2020) pose the same fork, window of opportunity or reinforced trap, for the Fourth Industrial Revolution in Southeast Asia, and Glawe and Wagner (2020) link human capital to the trap in the age of automation.</w:t>
      </w:r>
      <w:r>
        <w:t xml:space="preserve"> </w:t>
      </w:r>
      <w:r>
        <w:rPr>
          <w:bCs/>
          <w:b/>
        </w:rPr>
        <w:t xml:space="preserve">[VERIFY: check both papers’ findings against the full text before characterising them beyond their titles.]</w:t>
      </w:r>
    </w:p>
    <w:bookmarkEnd w:id="23"/>
    <w:bookmarkStart w:id="24" w:name="what-the-literature-leaves-open"/>
    <w:p>
      <w:pPr>
        <w:pStyle w:val="Heading3"/>
      </w:pPr>
      <w:r>
        <w:t xml:space="preserve">2.3 What the literature leaves open</w:t>
      </w:r>
    </w:p>
    <w:p>
      <w:pPr>
        <w:pStyle w:val="FirstParagraph"/>
      </w:pPr>
      <w:r>
        <w:t xml:space="preserve">These literatures yield a prediction but no mechanism at the level of policy. The macro models (Cerutti et al., 2025; Alonso et al., 2020) assume an access scenario and do not examine the instruments that determine it. The compute-geography work (Lehdonvirta et al., 2024, 2025) measures where capacity sits, not which policies shape whether domestic firms can provide it. Bahar et al. (2026) examine incentive design, but for research and development tax credits in one advanced economy, and not for AI or for the layers of a technology stack. Evidence that fiscal incentives do change firm behaviour, such as the finding that cutting the cost of research and development raises research spending across OECD countries (Bloom, Griffith and Van Reenen, 2002), makes the question of who is eligible consequential, and the design of tax incentives for business investment in developing countries is a long-standing public-finance concern (Zee, Stotsky and Ley, 2002). What is missing is an instrument-level account of eligibility across the AI stack in middle-income economies. That is the gap this paper addresses. Because the macro literature turns on whether domestic firms can enter the layers that supply compute, entry rules are the right object of study.</w:t>
      </w:r>
    </w:p>
    <w:bookmarkEnd w:id="24"/>
    <w:bookmarkStart w:id="25" w:name="X19f9adcae35d4a28eb573e73187c4a263c2f6de"/>
    <w:p>
      <w:pPr>
        <w:pStyle w:val="Heading3"/>
      </w:pPr>
      <w:r>
        <w:t xml:space="preserve">2.4 The four-layer stack and how it structures the analysis</w:t>
      </w:r>
    </w:p>
    <w:p>
      <w:pPr>
        <w:pStyle w:val="FirstParagraph"/>
      </w:pPr>
      <w:r>
        <w:t xml:space="preserve">Existing treatments distinguish software from hardware. We code four layers: (i) applications and models, including domain-specific systems and language models; (ii) cloud and compute services, meaning the provision of computing capacity as a service from owned or leased facilities; (iii) physical data-centre capacity, meaning construction and operation of facilities; and (iv) hardware manufacture, mainly semiconductor design and fabrication. A country can treat layer (ii) as generously as layer (i) while restricting layer (iii), or can prioritise (i) and (ii) while relegating (iv). A binary split would classify these as the same. We use the layers to organise the empirical sections: each country is described layer by layer, and Table 3 sets the countries side by side.</w:t>
      </w:r>
    </w:p>
    <w:p>
      <w:pPr>
        <w:pStyle w:val="BodyText"/>
      </w:pPr>
      <w:r>
        <w:t xml:space="preserve">Firms also relate to compute in two ways. Some use it (an AI developer renting capacity) and some supply it (a cloud provider or colocation operator). Support for users and support for suppliers are different instruments. Our coding concentrates on supply, because the entry question for domestic compute capacity is a supply question, and records use-side instruments where they appear</w:t>
      </w:r>
      <w:r>
        <w:t xml:space="preserve"> </w:t>
      </w:r>
      <w:r>
        <w:rPr>
          <w:bCs/>
          <w:b/>
        </w:rPr>
        <w:t xml:space="preserve">[PENDING: use-side instruments such as compute vouchers are not yet systematically coded; see Section 3.3]</w:t>
      </w:r>
      <w:r>
        <w:t xml:space="preserve">.</w:t>
      </w:r>
    </w:p>
    <w:bookmarkEnd w:id="25"/>
    <w:bookmarkStart w:id="26" w:name="Xb2d60a2a59b2d84ca46f154a28b9fd1d06b84a8"/>
    <w:p>
      <w:pPr>
        <w:pStyle w:val="Heading3"/>
      </w:pPr>
      <w:r>
        <w:t xml:space="preserve">2.5 Three dimensions of accessibility, and three explanations</w:t>
      </w:r>
    </w:p>
    <w:p>
      <w:pPr>
        <w:pStyle w:val="FirstParagraph"/>
      </w:pPr>
      <w:r>
        <w:t xml:space="preserve">A high threshold is not the same as a barrier to new firms, since a capital-rich startup can meet a high capital requirement, and a low priority for an activity is not the same as blocked access. We therefore keep three dimensions apart.</w:t>
      </w:r>
    </w:p>
    <w:p>
      <w:pPr>
        <w:numPr>
          <w:ilvl w:val="0"/>
          <w:numId w:val="1002"/>
        </w:numPr>
        <w:pStyle w:val="Compact"/>
      </w:pPr>
      <w:r>
        <w:rPr>
          <w:bCs/>
          <w:b/>
        </w:rPr>
        <w:t xml:space="preserve">Layer.</w:t>
      </w:r>
      <w:r>
        <w:t xml:space="preserve"> </w:t>
      </w:r>
      <w:r>
        <w:t xml:space="preserve">Which activities does the instrument cover or prioritise?</w:t>
      </w:r>
    </w:p>
    <w:p>
      <w:pPr>
        <w:numPr>
          <w:ilvl w:val="0"/>
          <w:numId w:val="1002"/>
        </w:numPr>
        <w:pStyle w:val="Compact"/>
      </w:pPr>
      <w:r>
        <w:rPr>
          <w:bCs/>
          <w:b/>
        </w:rPr>
        <w:t xml:space="preserve">Scale.</w:t>
      </w:r>
      <w:r>
        <w:t xml:space="preserve"> </w:t>
      </w:r>
      <w:r>
        <w:t xml:space="preserve">What minimum capital, revenue or staffing does it require?</w:t>
      </w:r>
    </w:p>
    <w:p>
      <w:pPr>
        <w:numPr>
          <w:ilvl w:val="0"/>
          <w:numId w:val="1002"/>
        </w:numPr>
        <w:pStyle w:val="Compact"/>
      </w:pPr>
      <w:r>
        <w:rPr>
          <w:bCs/>
          <w:b/>
        </w:rPr>
        <w:t xml:space="preserve">Vintage.</w:t>
      </w:r>
      <w:r>
        <w:t xml:space="preserve"> </w:t>
      </w:r>
      <w:r>
        <w:t xml:space="preserve">Does it accommodate new firms (a startup track, direct equity access) or does it presuppose an existing revenue base or profit?</w:t>
      </w:r>
    </w:p>
    <w:p>
      <w:pPr>
        <w:pStyle w:val="FirstParagraph"/>
      </w:pPr>
      <w:r>
        <w:t xml:space="preserve">We use</w:t>
      </w:r>
      <w:r>
        <w:t xml:space="preserve"> </w:t>
      </w:r>
      <w:r>
        <w:t xml:space="preserve">“</w:t>
      </w:r>
      <w:r>
        <w:t xml:space="preserve">incumbent</w:t>
      </w:r>
      <w:r>
        <w:t xml:space="preserve">”</w:t>
      </w:r>
      <w:r>
        <w:t xml:space="preserve"> </w:t>
      </w:r>
      <w:r>
        <w:t xml:space="preserve">only for the third dimension. Three explanations of the observed patterns follow from the literature, and each makes predictions on these dimensions.</w:t>
      </w:r>
    </w:p>
    <w:p>
      <w:pPr>
        <w:numPr>
          <w:ilvl w:val="0"/>
          <w:numId w:val="1003"/>
        </w:numPr>
        <w:pStyle w:val="Compact"/>
      </w:pPr>
      <w:r>
        <w:rPr>
          <w:bCs/>
          <w:b/>
        </w:rPr>
        <w:t xml:space="preserve">H1, cost necessity.</w:t>
      </w:r>
      <w:r>
        <w:t xml:space="preserve"> </w:t>
      </w:r>
      <w:r>
        <w:t xml:space="preserve">Thresholds follow the capital intensity of each layer. It predicts that threshold height rises with layer capital intensity (P1a), that instruments are absent below a layer’s minimum viable scale (P1b), and that eligibility does not depend on vintage (P1c). Note that P1b holds only under an auxiliary assumption, that a smaller viable scale of provision does not exist. We examine that assumption in Section 5.1.</w:t>
      </w:r>
    </w:p>
    <w:p>
      <w:pPr>
        <w:numPr>
          <w:ilvl w:val="0"/>
          <w:numId w:val="1003"/>
        </w:numPr>
        <w:pStyle w:val="Compact"/>
      </w:pPr>
      <w:r>
        <w:rPr>
          <w:bCs/>
          <w:b/>
        </w:rPr>
        <w:t xml:space="preserve">H2, scale-favouring design.</w:t>
      </w:r>
      <w:r>
        <w:t xml:space="preserve"> </w:t>
      </w:r>
      <w:r>
        <w:t xml:space="preserve">The architecture raises entry costs for smaller or newer firms beyond what the technology requires, whatever the intent. It predicts missing intermediate tiers where a smaller viable scale exists (P2a), and instruments that presuppose profit, revenue or fixed compliance cost even in layers with low capital needs (P2b). This is the mechanism Bahar et al. (2026) identify for Japan.</w:t>
      </w:r>
    </w:p>
    <w:p>
      <w:pPr>
        <w:numPr>
          <w:ilvl w:val="0"/>
          <w:numId w:val="1003"/>
        </w:numPr>
        <w:pStyle w:val="Compact"/>
      </w:pPr>
      <w:r>
        <w:rPr>
          <w:bCs/>
          <w:b/>
        </w:rPr>
        <w:t xml:space="preserve">H3, administrative habit.</w:t>
      </w:r>
      <w:r>
        <w:t xml:space="preserve"> </w:t>
      </w:r>
      <w:r>
        <w:t xml:space="preserve">Instruments reuse generic scale or sector templates and were not designed around AI. It predicts identical scale tiers across activity types (P3a), rules that mirror pre-AI schemes (P3b), and gaps that reflect category definitions, not choices (P3c).</w:t>
      </w:r>
    </w:p>
    <w:p>
      <w:pPr>
        <w:pStyle w:val="FirstParagraph"/>
      </w:pPr>
      <w:r>
        <w:t xml:space="preserve">H2 and H3 can generate similar outcomes and differ mainly in origin. Legal texts alone separate H1 from the pair {H2, H3} better than they separate H2 from H3. We state this limit here, not in the discussion, because it governs how far the evidence can be read.</w:t>
      </w:r>
    </w:p>
    <w:p>
      <w:pPr>
        <w:pStyle w:val="BodyText"/>
      </w:pPr>
      <w:r>
        <w:rPr>
          <w:bCs/>
          <w:b/>
        </w:rPr>
        <w:t xml:space="preserve">Why entry rungs matter.</w:t>
      </w:r>
      <w:r>
        <w:t xml:space="preserve"> </w:t>
      </w:r>
      <w:r>
        <w:t xml:space="preserve">H2 needs a theoretical basis for expecting that missing intermediate rungs matter. We draw it from the self-discovery argument of Hausmann and Rodrik (2003). A country does not know in advance what it can produce at competitive cost, and discovering the cost of a new activity is socially valuable because others can imitate the discovery, so that laissez-faire yields too little investment and entrepreneurship in new activities. Applied here, if the cost of supplying compute from inside a middle-income economy is unknown, small-scale provision is how that cost is discovered. An incentive that begins only at facility scale leaves discovery to the firms that can bear facility-scale risk, which are mostly large or foreign. A ladder, by contrast, lets many small trials occur before a few scale up. This is our application of their argument, not a result they report, and it predicts that rungs matter most where the minimum viable scale of an activity is far below the first eligible scale, which is the comparison Figure 1 makes.</w:t>
      </w:r>
    </w:p>
    <w:bookmarkEnd w:id="26"/>
    <w:bookmarkEnd w:id="27"/>
    <w:bookmarkStart w:id="32" w:name="research-design"/>
    <w:p>
      <w:pPr>
        <w:pStyle w:val="Heading2"/>
      </w:pPr>
      <w:r>
        <w:t xml:space="preserve">3. Research design</w:t>
      </w:r>
    </w:p>
    <w:bookmarkStart w:id="28" w:name="X82b45403e28965bf26ffa7d15c4e094830edd58"/>
    <w:p>
      <w:pPr>
        <w:pStyle w:val="Heading3"/>
      </w:pPr>
      <w:r>
        <w:t xml:space="preserve">3.1 Scope, case selection and nested structure</w:t>
      </w:r>
    </w:p>
    <w:p>
      <w:pPr>
        <w:pStyle w:val="FirstParagraph"/>
      </w:pPr>
      <w:r>
        <w:t xml:space="preserve">The paper studies</w:t>
      </w:r>
      <w:r>
        <w:t xml:space="preserve"> </w:t>
      </w:r>
      <w:r>
        <w:rPr>
          <w:iCs/>
          <w:i/>
        </w:rPr>
        <w:t xml:space="preserve">legal eligibility</w:t>
      </w:r>
      <w:r>
        <w:t xml:space="preserve">, that is, who may qualify under the rules as written. It does not observe realised access, application costs, screening practice or firm outcomes. These limit what the findings can say and are discussed in Section 7.</w:t>
      </w:r>
    </w:p>
    <w:p>
      <w:pPr>
        <w:pStyle w:val="BodyText"/>
      </w:pPr>
      <w:r>
        <w:rPr>
          <w:bCs/>
          <w:b/>
        </w:rPr>
        <w:t xml:space="preserve">Case selection.</w:t>
      </w:r>
      <w:r>
        <w:t xml:space="preserve"> </w:t>
      </w:r>
      <w:r>
        <w:t xml:space="preserve">We selected countries that (i) are middle-income ASEAN economies, (ii) have AI-related investment incentives in force in the period studied, (iii) publish consolidated primary legal texts we can access, and (iv) span the range of income trajectories in Bianchi et al. (2024).</w:t>
      </w:r>
    </w:p>
    <w:p>
      <w:pPr>
        <w:pStyle w:val="BodyText"/>
      </w:pPr>
      <w:r>
        <w:rPr>
          <w:iCs/>
          <w:i/>
        </w:rPr>
        <w:t xml:space="preserve">Which trap the classifications refer to.</w:t>
      </w:r>
      <w:r>
        <w:t xml:space="preserve"> </w:t>
      </w:r>
      <w:r>
        <w:t xml:space="preserve">The labels</w:t>
      </w:r>
      <w:r>
        <w:t xml:space="preserve"> </w:t>
      </w:r>
      <w:r>
        <w:t xml:space="preserve">“</w:t>
      </w:r>
      <w:r>
        <w:t xml:space="preserve">trapped</w:t>
      </w:r>
      <w:r>
        <w:t xml:space="preserve">”</w:t>
      </w:r>
      <w:r>
        <w:t xml:space="preserve"> </w:t>
      </w:r>
      <w:r>
        <w:t xml:space="preserve">and</w:t>
      </w:r>
      <w:r>
        <w:t xml:space="preserve"> </w:t>
      </w:r>
      <w:r>
        <w:t xml:space="preserve">“</w:t>
      </w:r>
      <w:r>
        <w:t xml:space="preserve">not trapped</w:t>
      </w:r>
      <w:r>
        <w:t xml:space="preserve">”</w:t>
      </w:r>
      <w:r>
        <w:t xml:space="preserve"> </w:t>
      </w:r>
      <w:r>
        <w:t xml:space="preserve">in this section refer to the</w:t>
      </w:r>
      <w:r>
        <w:t xml:space="preserve"> </w:t>
      </w:r>
      <w:r>
        <w:rPr>
          <w:bCs/>
          <w:b/>
        </w:rPr>
        <w:t xml:space="preserve">middle-income trap</w:t>
      </w:r>
      <w:r>
        <w:t xml:space="preserve">, not the middle-technology trap, and they are taken from Bianchi et al. (2024), who classify economies by the time spent in the middle-income range (duration criteria) and by the trajectory of export complexity. On that basis Thailand and Malaysia are formally trapped by duration but show sustained improvement in complexity, the most favourable of the three categories. Vietnam is not classified as trapped by any source we reviewed, having reached upper-middle-income status only in July 2026. The Philippines crossed the same threshold on the same date but carries a documented trap history at a lower income band.</w:t>
      </w:r>
      <w:r>
        <w:t xml:space="preserve"> </w:t>
      </w:r>
      <w:r>
        <w:rPr>
          <w:bCs/>
          <w:b/>
        </w:rPr>
        <w:t xml:space="preserve">[VERIFY: confirm the duration criteria and the placement of each country in Bianchi et al. (2024), and state the criteria numerically.]</w:t>
      </w:r>
      <w:r>
        <w:t xml:space="preserve"> </w:t>
      </w:r>
      <w:r>
        <w:t xml:space="preserve">The middle-technology trap has been applied separately: Ke (2024) examines it for Malaysia, Thailand, Indonesia and the Philippines, and does not cover Vietnam. We do not classify any of the four countries as middle-technology trapped, and we do not use either classification as a result. We use them only to choose cases that differ in their position relative to the middle-income range, so that the question for each country differs: whether AI incentive design reinforces or corrects an established pattern (Thailand, Malaysia), whether a previously experienced pattern could recur at a higher threshold (the Philippines), and whether the architecture being built now, while institutions are comparatively malleable, will help Vietnam through the range in which slowdowns cluster.</w:t>
      </w:r>
    </w:p>
    <w:p>
      <w:pPr>
        <w:pStyle w:val="BodyText"/>
      </w:pPr>
      <w:r>
        <w:rPr>
          <w:iCs/>
          <w:i/>
        </w:rPr>
        <w:t xml:space="preserve">How far the findings generalise.</w:t>
      </w:r>
      <w:r>
        <w:t xml:space="preserve"> </w:t>
      </w:r>
      <w:r>
        <w:t xml:space="preserve">Four purposively chosen cases support analytic inferences about how these four systems are designed. They do not support statistical claims about Southeast Asia. The findings may apply to other middle-income economies that use threshold-based investment promotion, and are less likely to apply to economies with a different incentive architecture, such as those without a dedicated investment promotion agency. Section 7 returns to this limit.</w:t>
      </w:r>
    </w:p>
    <w:p>
      <w:pPr>
        <w:pStyle w:val="BodyText"/>
      </w:pPr>
      <w:r>
        <w:rPr>
          <w:iCs/>
          <w:i/>
        </w:rPr>
        <w:t xml:space="preserve">Countries not included.</w:t>
      </w:r>
      <w:r>
        <w:t xml:space="preserve"> </w:t>
      </w:r>
      <w:r>
        <w:t xml:space="preserve">Singapore is a high-income economy and outside the middle-income focus.</w:t>
      </w:r>
      <w:r>
        <w:t xml:space="preserve"> </w:t>
      </w:r>
      <w:r>
        <w:rPr>
          <w:bCs/>
          <w:b/>
        </w:rPr>
        <w:t xml:space="preserve">[PENDING, AUTHORS TO COMPLETE: reason for excluding Indonesia, which belongs to the ASEAN Four in Ke (2024). Possible grounds, to be confirmed or replaced: no consolidated AI incentive instrument in force, language access, timing. Do not submit without a stated reason; see Seawright and Gerring (2008) for the logic of purposive case selection.]</w:t>
      </w:r>
    </w:p>
    <w:p>
      <w:pPr>
        <w:pStyle w:val="BodyText"/>
      </w:pPr>
      <w:r>
        <w:rPr>
          <w:bCs/>
          <w:b/>
        </w:rPr>
        <w:t xml:space="preserve">Nested design.</w:t>
      </w:r>
      <w:r>
        <w:t xml:space="preserve"> </w:t>
      </w:r>
      <w:r>
        <w:t xml:space="preserve">Thailand is the primary case because it is the only one of the four that publishes approval statistics by sub-activity and by ownership of registered capital, so formal rules can be compared with realised outcomes. Vietnam, Malaysia and the Philippines are shadow cases coded on the same dimensions from legal texts without equivalent outcome data. The design buys one thing that a symmetric comparison would not: a test of whether rules and outcomes line up in at least one country. The cost is that claims about realised ownership rest on one country and are provisional.</w:t>
      </w:r>
    </w:p>
    <w:bookmarkEnd w:id="28"/>
    <w:bookmarkStart w:id="29" w:name="data-sources"/>
    <w:p>
      <w:pPr>
        <w:pStyle w:val="Heading3"/>
      </w:pPr>
      <w:r>
        <w:t xml:space="preserve">3.2 Data sources</w:t>
      </w:r>
    </w:p>
    <w:p>
      <w:pPr>
        <w:pStyle w:val="FirstParagraph"/>
      </w:pPr>
      <w:r>
        <w:t xml:space="preserve">We code primary legal and regulatory texts, not strategy documents or commentary: Thailand’s Board of Investment announcements and Investment Promotion Guide; Vietnam’s Decree 260/2026 implementing the Law on High Technology and Decision 21/2026 on strategic technologies; Malaysia’s Malaysia Digital tax-incentive guidelines and the Digital Ecosystem Acceleration scheme guidelines; and the Philippines’ CREATE MORE Act with its implementing rules. Table 1 lists each source with its issuing body, date, access route and the amendment check described below.</w:t>
      </w:r>
    </w:p>
    <w:p>
      <w:pPr>
        <w:pStyle w:val="BodyText"/>
      </w:pPr>
      <w:r>
        <w:rPr>
          <w:bCs/>
          <w:b/>
        </w:rPr>
        <w:t xml:space="preserve">Which instruments were selected, and how we established that they are authoritative and current.</w:t>
      </w:r>
      <w:r>
        <w:t xml:space="preserve"> </w:t>
      </w:r>
      <w:r>
        <w:t xml:space="preserve">An instrument entered the sample if it met two rules: it is in force in the period studied, and it either names AI, cloud, data centres or digital activity as an eligible or prioritised activity or sets eligibility rules for a scheme under which such activity is registered. We built the list for each country by reading the issuing agency’s own consolidated list of schemes and the instruments those schemes cite, and we treated the instrument text, not agency summaries or press releases, as authoritative. For each source we then recorded (a) the version in force on the date of coding, (b) any amendment, consolidation or repeal found in the issuing body’s own publication record, and (c) any implementing rule or circular that could change how the coded provision is read. The check was made against the issuing body’s publication list, not against secondary commentary. One case shows why it matters: Decision 21/2026/QD-TTg replaced an earlier 2025 list of strategic technologies (Decision 1131/QD-TTg), and the coding reflects the 2026 decision only.</w:t>
      </w:r>
      <w:r>
        <w:t xml:space="preserve"> </w:t>
      </w:r>
      <w:r>
        <w:rPr>
          <w:bCs/>
          <w:b/>
        </w:rPr>
        <w:t xml:space="preserve">[PENDING: complete the amendment and supersession check for every row of Table 1, state the date of each check, and name any provision found to have changed. Until then this paragraph describes the intended procedure, not a completed one.]</w:t>
      </w:r>
    </w:p>
    <w:p>
      <w:pPr>
        <w:pStyle w:val="BodyText"/>
      </w:pPr>
      <w:r>
        <w:rPr>
          <w:bCs/>
          <w:b/>
        </w:rPr>
        <w:t xml:space="preserve">Table 1. Primary sources coded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Country</w:t>
            </w:r>
          </w:p>
        </w:tc>
        <w:tc>
          <w:tcPr/>
          <w:p>
            <w:pPr>
              <w:pStyle w:val="Compact"/>
              <w:jc w:val="left"/>
            </w:pPr>
            <w:r>
              <w:t xml:space="preserve">Source</w:t>
            </w:r>
          </w:p>
        </w:tc>
        <w:tc>
          <w:tcPr/>
          <w:p>
            <w:pPr>
              <w:pStyle w:val="Compact"/>
              <w:jc w:val="left"/>
            </w:pPr>
            <w:r>
              <w:t xml:space="preserve">Issuer</w:t>
            </w:r>
          </w:p>
        </w:tc>
        <w:tc>
          <w:tcPr/>
          <w:p>
            <w:pPr>
              <w:pStyle w:val="Compact"/>
              <w:jc w:val="left"/>
            </w:pPr>
            <w:r>
              <w:t xml:space="preserve">Date in force</w:t>
            </w:r>
          </w:p>
        </w:tc>
        <w:tc>
          <w:tcPr/>
          <w:p>
            <w:pPr>
              <w:pStyle w:val="Compact"/>
              <w:jc w:val="left"/>
            </w:pPr>
            <w:r>
              <w:t xml:space="preserve">Language / translation</w:t>
            </w:r>
          </w:p>
        </w:tc>
        <w:tc>
          <w:tcPr/>
          <w:p>
            <w:pPr>
              <w:pStyle w:val="Compact"/>
              <w:jc w:val="left"/>
            </w:pPr>
            <w:r>
              <w:t xml:space="preserve">Accessed</w:t>
            </w:r>
          </w:p>
        </w:tc>
        <w:tc>
          <w:tcPr/>
          <w:p>
            <w:pPr>
              <w:pStyle w:val="Compact"/>
              <w:jc w:val="left"/>
            </w:pPr>
            <w:r>
              <w:t xml:space="preserve">Amendments, repeals and implementing rules checked (date)</w:t>
            </w:r>
          </w:p>
        </w:tc>
      </w:tr>
      <w:tr>
        <w:tc>
          <w:tcPr/>
          <w:p>
            <w:pPr>
              <w:pStyle w:val="Compact"/>
              <w:jc w:val="left"/>
            </w:pPr>
            <w:r>
              <w:t xml:space="preserve">Thailand</w:t>
            </w:r>
          </w:p>
        </w:tc>
        <w:tc>
          <w:tcPr/>
          <w:p>
            <w:pPr>
              <w:pStyle w:val="Compact"/>
              <w:jc w:val="left"/>
            </w:pPr>
            <w:r>
              <w:t xml:space="preserve">BOI Announcements 8/2565, 9/2565, 10/2565; Guide to Investment Promotion 2025; approval statistics Jan to Dec 2025</w:t>
            </w:r>
          </w:p>
        </w:tc>
        <w:tc>
          <w:tcPr/>
          <w:p>
            <w:pPr>
              <w:pStyle w:val="Compact"/>
              <w:jc w:val="left"/>
            </w:pPr>
            <w:r>
              <w:t xml:space="preserve">Board of Investment</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r>
      <w:tr>
        <w:tc>
          <w:tcPr/>
          <w:p>
            <w:pPr>
              <w:pStyle w:val="Compact"/>
              <w:jc w:val="left"/>
            </w:pPr>
            <w:r>
              <w:t xml:space="preserve">Vietnam</w:t>
            </w:r>
          </w:p>
        </w:tc>
        <w:tc>
          <w:tcPr/>
          <w:p>
            <w:pPr>
              <w:pStyle w:val="Compact"/>
              <w:jc w:val="left"/>
            </w:pPr>
            <w:r>
              <w:t xml:space="preserve">Decree 260/2026/ND-CP; Decision 21/2026/QD-TTg (replaces Decision 1131/QD-TTg of 2025)</w:t>
            </w:r>
          </w:p>
        </w:tc>
        <w:tc>
          <w:tcPr/>
          <w:p>
            <w:pPr>
              <w:pStyle w:val="Compact"/>
              <w:jc w:val="left"/>
            </w:pPr>
            <w:r>
              <w:t xml:space="preserve">Government; Prime Minister</w:t>
            </w:r>
          </w:p>
        </w:tc>
        <w:tc>
          <w:tcPr/>
          <w:p>
            <w:pPr>
              <w:pStyle w:val="Compact"/>
              <w:jc w:val="left"/>
            </w:pPr>
            <w:r>
              <w:t xml:space="preserve">1 July 2026 (VERIFY)</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r>
      <w:tr>
        <w:tc>
          <w:tcPr/>
          <w:p>
            <w:pPr>
              <w:pStyle w:val="Compact"/>
              <w:jc w:val="left"/>
            </w:pPr>
            <w:r>
              <w:t xml:space="preserve">Malaysia</w:t>
            </w:r>
          </w:p>
        </w:tc>
        <w:tc>
          <w:tcPr/>
          <w:p>
            <w:pPr>
              <w:pStyle w:val="Compact"/>
              <w:jc w:val="left"/>
            </w:pPr>
            <w:r>
              <w:t xml:space="preserve">Malaysia Digital incentive guidelines (2024); DESAC guidelines (2022)</w:t>
            </w:r>
          </w:p>
        </w:tc>
        <w:tc>
          <w:tcPr/>
          <w:p>
            <w:pPr>
              <w:pStyle w:val="Compact"/>
              <w:jc w:val="left"/>
            </w:pPr>
            <w:r>
              <w:t xml:space="preserve">MDEC; MIDA</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r>
      <w:tr>
        <w:tc>
          <w:tcPr/>
          <w:p>
            <w:pPr>
              <w:pStyle w:val="Compact"/>
              <w:jc w:val="left"/>
            </w:pPr>
            <w:r>
              <w:t xml:space="preserve">Philippines</w:t>
            </w:r>
          </w:p>
        </w:tc>
        <w:tc>
          <w:tcPr/>
          <w:p>
            <w:pPr>
              <w:pStyle w:val="Compact"/>
              <w:jc w:val="left"/>
            </w:pPr>
            <w:r>
              <w:t xml:space="preserve">Republic Act 12066 (CREATE MORE); FIRB Advisory 001-2025</w:t>
            </w:r>
          </w:p>
        </w:tc>
        <w:tc>
          <w:tcPr/>
          <w:p>
            <w:pPr>
              <w:pStyle w:val="Compact"/>
              <w:jc w:val="left"/>
            </w:pPr>
            <w:r>
              <w:t xml:space="preserve">Congress; FIRB</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r>
    </w:tbl>
    <w:p>
      <w:pPr>
        <w:pStyle w:val="BodyText"/>
      </w:pPr>
      <w:r>
        <w:t xml:space="preserve">Statistical sources for Vietnam are the Ministry of Information and Communications white book (2024) and the General Statistics Office yearbook (2024). Currency figures are converted at the rate prevailing when each instrument was coded</w:t>
      </w:r>
      <w:r>
        <w:t xml:space="preserve"> </w:t>
      </w:r>
      <w:r>
        <w:rPr>
          <w:bCs/>
          <w:b/>
        </w:rPr>
        <w:t xml:space="preserve">[PENDING: state the date and rate used for each currency in the note to Table 3]</w:t>
      </w:r>
      <w:r>
        <w:t xml:space="preserve">. The main limitations of these sources are that some texts were coded from official or unofficial English translations, that implementing rules may follow the primary text, and that Vietnam’s AI-specific regulatory layer is still developing following the 2025 AI law (Vietnam, 2025).</w:t>
      </w:r>
    </w:p>
    <w:bookmarkEnd w:id="29"/>
    <w:bookmarkStart w:id="30" w:name="coding-of-policy-instruments"/>
    <w:p>
      <w:pPr>
        <w:pStyle w:val="Heading3"/>
      </w:pPr>
      <w:r>
        <w:t xml:space="preserve">3.3 Coding of policy instruments</w:t>
      </w:r>
    </w:p>
    <w:p>
      <w:pPr>
        <w:pStyle w:val="FirstParagraph"/>
      </w:pPr>
      <w:r>
        <w:t xml:space="preserve">The unit of analysis is the instrument, a specific exemption, grant or eligibility rule, not the strategy document, since one strategy bundles many instruments. About twenty instruments were coded across the four countries (Supporting Information, Table S1). Each is coded on five dimensions:</w:t>
      </w:r>
      <w:r>
        <w:t xml:space="preserve"> </w:t>
      </w:r>
      <w:r>
        <w:rPr>
          <w:bCs/>
          <w:b/>
        </w:rPr>
        <w:t xml:space="preserve">(1) stack layer</w:t>
      </w:r>
      <w:r>
        <w:t xml:space="preserve">, using the four-layer scheme;</w:t>
      </w:r>
      <w:r>
        <w:t xml:space="preserve"> </w:t>
      </w:r>
      <w:r>
        <w:rPr>
          <w:bCs/>
          <w:b/>
        </w:rPr>
        <w:t xml:space="preserve">(2) delivery mechanism</w:t>
      </w:r>
      <w:r>
        <w:t xml:space="preserve">, distinguishing indirect tax-based instruments, which presuppose taxable profit or investment expenditure, from direct grants, equity or fee waivers;</w:t>
      </w:r>
      <w:r>
        <w:t xml:space="preserve"> </w:t>
      </w:r>
      <w:r>
        <w:rPr>
          <w:bCs/>
          <w:b/>
        </w:rPr>
        <w:t xml:space="preserve">(3) formal threshold</w:t>
      </w:r>
      <w:r>
        <w:t xml:space="preserve">, the minimum capital, revenue or staffing in the source (the scale dimension);</w:t>
      </w:r>
      <w:r>
        <w:t xml:space="preserve"> </w:t>
      </w:r>
      <w:r>
        <w:rPr>
          <w:bCs/>
          <w:b/>
        </w:rPr>
        <w:t xml:space="preserve">(4) new-firm accommodation</w:t>
      </w:r>
      <w:r>
        <w:t xml:space="preserve">, coded Yes only where the source contains an explicit provision easing access for smaller or newer firms (the vintage dimension); and</w:t>
      </w:r>
      <w:r>
        <w:t xml:space="preserve"> </w:t>
      </w:r>
      <w:r>
        <w:rPr>
          <w:bCs/>
          <w:b/>
        </w:rPr>
        <w:t xml:space="preserve">(5) recurring compliance burden</w:t>
      </w:r>
      <w:r>
        <w:t xml:space="preserve">, meaning annual or ongoing obligations attached to continued eligibility.</w:t>
      </w:r>
    </w:p>
    <w:p>
      <w:pPr>
        <w:pStyle w:val="BodyText"/>
      </w:pPr>
      <w:r>
        <w:t xml:space="preserve">The codebook is in Appendix A. Rules for ambiguous cases are as follows. A threshold the source does not state is coded</w:t>
      </w:r>
      <w:r>
        <w:t xml:space="preserve"> </w:t>
      </w:r>
      <w:r>
        <w:t xml:space="preserve">“</w:t>
      </w:r>
      <w:r>
        <w:t xml:space="preserve">none stated</w:t>
      </w:r>
      <w:r>
        <w:t xml:space="preserve">”</w:t>
      </w:r>
      <w:r>
        <w:t xml:space="preserve">, not zero. An instrument applying across activity types without targeting a layer is coded</w:t>
      </w:r>
      <w:r>
        <w:t xml:space="preserve"> </w:t>
      </w:r>
      <w:r>
        <w:t xml:space="preserve">“</w:t>
      </w:r>
      <w:r>
        <w:t xml:space="preserve">cross-cutting</w:t>
      </w:r>
      <w:r>
        <w:t xml:space="preserve">”</w:t>
      </w:r>
      <w:r>
        <w:t xml:space="preserve">. A proportional requirement, such as a percentage of staff, is coded</w:t>
      </w:r>
      <w:r>
        <w:t xml:space="preserve"> </w:t>
      </w:r>
      <w:r>
        <w:t xml:space="preserve">“</w:t>
      </w:r>
      <w:r>
        <w:t xml:space="preserve">not scale-based</w:t>
      </w:r>
      <w:r>
        <w:t xml:space="preserve">”</w:t>
      </w:r>
      <w:r>
        <w:t xml:space="preserve">, because a firm of ten people can satisfy it as readily as a firm of a thousand. Where a scheme combines tax and direct components, each component is coded as a separate row. Where a coding decision remained uncertain after reading the source, the instrument is flagged and the decision is logged in the Supporting Information.</w:t>
      </w:r>
    </w:p>
    <w:p>
      <w:pPr>
        <w:pStyle w:val="BodyText"/>
      </w:pPr>
      <w:r>
        <w:t xml:space="preserve">We report the coded dimensions directly, as a matrix (Table 3), and do not aggregate them into an index. Any weighting across dimensions would be a modelling assumption with no data-derived basis, and a single number would convey more precision than the coding supports.</w:t>
      </w:r>
    </w:p>
    <w:p>
      <w:pPr>
        <w:pStyle w:val="BodyText"/>
      </w:pPr>
      <w:r>
        <w:rPr>
          <w:bCs/>
          <w:b/>
        </w:rPr>
        <w:t xml:space="preserve">Reliability.</w:t>
      </w:r>
      <w:r>
        <w:t xml:space="preserve"> </w:t>
      </w:r>
      <w:r>
        <w:rPr>
          <w:bCs/>
          <w:b/>
        </w:rPr>
        <w:t xml:space="preserve">[PENDING: inter-coder reliability. A second coder will code all 20 instruments independently, blind to the first coder’s codes, using the codebook in Appendix A. We will report percentage agreement and Cohen’s kappa (Cohen, 1960) per dimension, with Krippendorff’s alpha (Krippendorff, 2018) as a check given the small number of units; we will report agreement before and after discussion and log every resolved disagreement. Replace this paragraph with the results. Until it is done, all coding results should be read as the first coder’s judgements.]</w:t>
      </w:r>
    </w:p>
    <w:p>
      <w:pPr>
        <w:pStyle w:val="BodyText"/>
      </w:pPr>
      <w:r>
        <w:rPr>
          <w:bCs/>
          <w:b/>
        </w:rPr>
        <w:t xml:space="preserve">Verification.</w:t>
      </w:r>
      <w:r>
        <w:t xml:space="preserve"> </w:t>
      </w:r>
      <w:r>
        <w:rPr>
          <w:bCs/>
          <w:b/>
        </w:rPr>
        <w:t xml:space="preserve">[PENDING: every figure in Table 3 and Supporting Information Table S1 is to be re-checked against the primary text, with the date of checking recorded. At the time of drafting, 14 of the 20 instrument rows were marked as not independently re-verified. Replace this paragraph with the verification result.]</w:t>
      </w:r>
    </w:p>
    <w:p>
      <w:pPr>
        <w:pStyle w:val="BodyText"/>
      </w:pPr>
      <w:r>
        <w:rPr>
          <w:bCs/>
          <w:b/>
        </w:rPr>
        <w:t xml:space="preserve">Search protocol for absence claims.</w:t>
      </w:r>
      <w:r>
        <w:t xml:space="preserve"> </w:t>
      </w:r>
      <w:r>
        <w:t xml:space="preserve">Our claim that Thailand, Vietnam and the Philippines have no AI-related instrument addressing compute provision below facility scale, and our reading of the scope of Malaysia’s entry tier, are claims about absence and about coverage.</w:t>
      </w:r>
      <w:r>
        <w:t xml:space="preserve"> </w:t>
      </w:r>
      <w:r>
        <w:rPr>
          <w:bCs/>
          <w:b/>
        </w:rPr>
        <w:t xml:space="preserve">[PENDING: document the search: which instrument lists were read in full, which key terms were searched in the English and national-language texts (for example colocation, cloud service, compute, GPU, shared infrastructure), and on what date, and name the nearest instrument to sub-facility compute in each country.]</w:t>
      </w:r>
    </w:p>
    <w:p>
      <w:pPr>
        <w:pStyle w:val="BodyText"/>
      </w:pPr>
      <w:r>
        <w:rPr>
          <w:bCs/>
          <w:b/>
        </w:rPr>
        <w:t xml:space="preserve">General-purpose instruments.</w:t>
      </w:r>
      <w:r>
        <w:t xml:space="preserve"> </w:t>
      </w:r>
      <w:r>
        <w:t xml:space="preserve">The coding so far covers AI-tagged and digital-sector incentives. Firms may reach support through general SME, startup or research schemes that do not mention AI.</w:t>
      </w:r>
      <w:r>
        <w:t xml:space="preserve"> </w:t>
      </w:r>
      <w:r>
        <w:rPr>
          <w:bCs/>
          <w:b/>
        </w:rPr>
        <w:t xml:space="preserve">[PENDING: code the general SME, startup and research instruments of each country on the same five dimensions, and report whether any would apply to a sub-facility compute provider. Until this is done, the absence claim in Section 4.5 is limited to AI-related and digital-sector instruments.]</w:t>
      </w:r>
    </w:p>
    <w:bookmarkEnd w:id="30"/>
    <w:bookmarkStart w:id="31" w:name="assessing-rival-explanations"/>
    <w:p>
      <w:pPr>
        <w:pStyle w:val="Heading3"/>
      </w:pPr>
      <w:r>
        <w:t xml:space="preserve">3.4 Assessing rival explanations</w:t>
      </w:r>
    </w:p>
    <w:p>
      <w:pPr>
        <w:pStyle w:val="FirstParagraph"/>
      </w:pPr>
      <w:r>
        <w:t xml:space="preserve">Because the analysis rests on four documented cases and not on a panel, conventional identification is unavailable. We use process-tracing logic (Collier, 2011; Mahoney, 2012; Van Evera, 1997): each piece of evidence is assessed by how each hypothesis predicts it, and by whether it can discriminate between them. We borrow from Fairfield and Charman (2017) the discipline of asking how probable the evidence would be under each rival, but we do not assign numerical priors or likelihoods. Four cases and about nine evidence items cannot support defensible numerical priors, and the conclusions would then depend on the priors. We use an ordinal rubric instead, so that every rating can be traced to a stated rule.</w:t>
      </w:r>
    </w:p>
    <w:p>
      <w:pPr>
        <w:pStyle w:val="BodyText"/>
      </w:pPr>
      <w:r>
        <w:rPr>
          <w:bCs/>
          <w:b/>
        </w:rPr>
        <w:t xml:space="preserve">Table 2. Rubric for assessing evidence against hypotheses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Rating of a hypothesis</w:t>
            </w:r>
          </w:p>
        </w:tc>
        <w:tc>
          <w:tcPr/>
          <w:p>
            <w:pPr>
              <w:pStyle w:val="Compact"/>
              <w:jc w:val="left"/>
            </w:pPr>
            <w:r>
              <w:t xml:space="preserve">Meaning</w:t>
            </w:r>
          </w:p>
        </w:tc>
      </w:tr>
      <w:tr>
        <w:tc>
          <w:tcPr/>
          <w:p>
            <w:pPr>
              <w:pStyle w:val="Compact"/>
              <w:jc w:val="left"/>
            </w:pPr>
            <w:r>
              <w:t xml:space="preserve">Expected (E)</w:t>
            </w:r>
          </w:p>
        </w:tc>
        <w:tc>
          <w:tcPr/>
          <w:p>
            <w:pPr>
              <w:pStyle w:val="Compact"/>
              <w:jc w:val="left"/>
            </w:pPr>
            <w:r>
              <w:t xml:space="preserve">The hypothesis predicts this evidence (it is part of one of its stated predictions P1 to P3)</w:t>
            </w:r>
          </w:p>
        </w:tc>
      </w:tr>
      <w:tr>
        <w:tc>
          <w:tcPr/>
          <w:p>
            <w:pPr>
              <w:pStyle w:val="Compact"/>
              <w:jc w:val="left"/>
            </w:pPr>
            <w:r>
              <w:t xml:space="preserve">Compatible (C)</w:t>
            </w:r>
          </w:p>
        </w:tc>
        <w:tc>
          <w:tcPr/>
          <w:p>
            <w:pPr>
              <w:pStyle w:val="Compact"/>
              <w:jc w:val="left"/>
            </w:pPr>
            <w:r>
              <w:t xml:space="preserve">The hypothesis does not predict the evidence but is consistent with it</w:t>
            </w:r>
          </w:p>
        </w:tc>
      </w:tr>
      <w:tr>
        <w:tc>
          <w:tcPr/>
          <w:p>
            <w:pPr>
              <w:pStyle w:val="Compact"/>
              <w:jc w:val="left"/>
            </w:pPr>
            <w:r>
              <w:t xml:space="preserve">Unexpected (U)</w:t>
            </w:r>
          </w:p>
        </w:tc>
        <w:tc>
          <w:tcPr/>
          <w:p>
            <w:pPr>
              <w:pStyle w:val="Compact"/>
              <w:jc w:val="left"/>
            </w:pPr>
            <w:r>
              <w:t xml:space="preserve">The evidence is in tension with the hypothesis and can be reconciled only with an additional assumption</w:t>
            </w:r>
          </w:p>
        </w:tc>
      </w:tr>
      <w:tr>
        <w:tc>
          <w:tcPr/>
          <w:p>
            <w:pPr>
              <w:pStyle w:val="Compact"/>
              <w:jc w:val="left"/>
            </w:pPr>
            <w:r>
              <w:t xml:space="preserve">Contradicted (X)</w:t>
            </w:r>
          </w:p>
        </w:tc>
        <w:tc>
          <w:tcPr/>
          <w:p>
            <w:pPr>
              <w:pStyle w:val="Compact"/>
              <w:jc w:val="left"/>
            </w:pPr>
            <w:r>
              <w:t xml:space="preserve">The evidence is inconsistent with the hypothesis as stated</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Inferential weight</w:t>
            </w:r>
          </w:p>
        </w:tc>
        <w:tc>
          <w:tcPr/>
          <w:p>
            <w:pPr>
              <w:pStyle w:val="Compact"/>
              <w:jc w:val="left"/>
            </w:pPr>
            <w:r>
              <w:t xml:space="preserve">Rule</w:t>
            </w:r>
          </w:p>
        </w:tc>
      </w:tr>
      <w:tr>
        <w:tc>
          <w:tcPr/>
          <w:p>
            <w:pPr>
              <w:pStyle w:val="Compact"/>
              <w:jc w:val="left"/>
            </w:pPr>
            <w:r>
              <w:t xml:space="preserve">Strong</w:t>
            </w:r>
          </w:p>
        </w:tc>
        <w:tc>
          <w:tcPr/>
          <w:p>
            <w:pPr>
              <w:pStyle w:val="Compact"/>
              <w:jc w:val="left"/>
            </w:pPr>
            <w:r>
              <w:t xml:space="preserve">At least one rival is rated U or X, the evidence rests on verified coding, and no auxiliary assumption is needed</w:t>
            </w:r>
          </w:p>
        </w:tc>
      </w:tr>
      <w:tr>
        <w:tc>
          <w:tcPr/>
          <w:p>
            <w:pPr>
              <w:pStyle w:val="Compact"/>
              <w:jc w:val="left"/>
            </w:pPr>
            <w:r>
              <w:t xml:space="preserve">Moderate</w:t>
            </w:r>
          </w:p>
        </w:tc>
        <w:tc>
          <w:tcPr/>
          <w:p>
            <w:pPr>
              <w:pStyle w:val="Compact"/>
              <w:jc w:val="left"/>
            </w:pPr>
            <w:r>
              <w:t xml:space="preserve">At least one rival is rated U or X, but the weight depends on an auxiliary assumption or on coding not yet verified</w:t>
            </w:r>
          </w:p>
        </w:tc>
      </w:tr>
      <w:tr>
        <w:tc>
          <w:tcPr/>
          <w:p>
            <w:pPr>
              <w:pStyle w:val="Compact"/>
              <w:jc w:val="left"/>
            </w:pPr>
            <w:r>
              <w:t xml:space="preserve">Weak</w:t>
            </w:r>
          </w:p>
        </w:tc>
        <w:tc>
          <w:tcPr/>
          <w:p>
            <w:pPr>
              <w:pStyle w:val="Compact"/>
              <w:jc w:val="left"/>
            </w:pPr>
            <w:r>
              <w:t xml:space="preserve">No rival is rated U or X, so the evidence does not discriminate</w:t>
            </w:r>
          </w:p>
        </w:tc>
      </w:tr>
    </w:tbl>
    <w:p>
      <w:pPr>
        <w:pStyle w:val="BodyText"/>
      </w:pPr>
      <w:r>
        <w:t xml:space="preserve">For each row we also state what evidence would change the rating (Table 4) and test how conclusions change when single rows are dropped (Section 5.3). The most visible pattern in the data, the gap between software and infrastructure thresholds, is a</w:t>
      </w:r>
      <w:r>
        <w:t xml:space="preserve"> </w:t>
      </w:r>
      <w:r>
        <w:rPr>
          <w:iCs/>
          <w:i/>
        </w:rPr>
        <w:t xml:space="preserve">weak</w:t>
      </w:r>
      <w:r>
        <w:t xml:space="preserve"> </w:t>
      </w:r>
      <w:r>
        <w:t xml:space="preserve">test, because a cost-based account predicts it as well as a design-based one does. We say this here, and we build the argument on the evidence that does discriminate.</w:t>
      </w:r>
    </w:p>
    <w:bookmarkEnd w:id="31"/>
    <w:bookmarkEnd w:id="32"/>
    <w:bookmarkStart w:id="41" w:name="findings"/>
    <w:p>
      <w:pPr>
        <w:pStyle w:val="Heading2"/>
      </w:pPr>
      <w:r>
        <w:t xml:space="preserve">4. Findings</w:t>
      </w:r>
    </w:p>
    <w:bookmarkStart w:id="33" w:name="thailand"/>
    <w:p>
      <w:pPr>
        <w:pStyle w:val="Heading3"/>
      </w:pPr>
      <w:r>
        <w:t xml:space="preserve">4.1 Thailand</w:t>
      </w:r>
    </w:p>
    <w:p>
      <w:pPr>
        <w:pStyle w:val="FirstParagraph"/>
      </w:pPr>
      <w:r>
        <w:t xml:space="preserve">Thailand’s Board of Investment administers AI-relevant incentives through its Digital, Creative Industries and High-Value Service division, established under two 2022 announcements (Board of Investment of Thailand, 2022, 2025). Software and digital-content development qualifies for an uncapped corporate income tax exemption at an annual threshold of approximately 1.5 million baht (about US$42,000), calculated from local staff salary expenditure, which a small technical team can reach. GPU-based data hosting, the layer most directly involved in training or serving models, requires minimum capital of approximately 5,000 million baht (about US$140 million) and an extensive certification regime. These two thresholds are not strictly comparable, since one is an annual expenditure flow and the other a capital stock, so we do not compute a ratio between them. We compare realised project sizes instead (below).</w:t>
      </w:r>
    </w:p>
    <w:p>
      <w:pPr>
        <w:pStyle w:val="BodyText"/>
      </w:pPr>
      <w:r>
        <w:t xml:space="preserve">The structure is more than a binary. Baseline research and development qualifies at the same accessible threshold as software. A separate competitiveness-enhancement mechanism lets qualifying firms extend the exemption to thirteen years if they make additional investment of at least 200 million baht, representing a specified minimum share of sales over the following three years (Board of Investment of Thailand, 2022). The most generous tier is thus reserved for firms with a revenue base large enough to meet it. This is a vintage barrier that applies to software, where a cost rationale does not apply.</w:t>
      </w:r>
      <w:r>
        <w:t xml:space="preserve"> </w:t>
      </w:r>
      <w:r>
        <w:rPr>
          <w:bCs/>
          <w:b/>
        </w:rPr>
        <w:t xml:space="preserve">[VERIFY: whether this mechanism is specific to the digital division or cross-sectoral, since the answer bears on H3.]</w:t>
      </w:r>
    </w:p>
    <w:p>
      <w:pPr>
        <w:pStyle w:val="BodyText"/>
      </w:pPr>
      <w:r>
        <w:t xml:space="preserve">Realised approvals agree with the formal rules. Approval statistics for January to December 2025 show 96 approved projects under Activity 8.1.1 (software and digital platforms) with combined investment of 933.0 million baht, an average of about 9.7 million baht. Over the same period 24 approved data-centre projects under Activity 8.2.1 carried 457,999.8 million baht, an average of about 19,083 million baht, and a single data-hosting project under Activity 8.2.4 carried 126,793.0 million baht (Board of Investment of Thailand, 2026). The average data-centre project is therefore about 1,960 times the average software project in approved investment. This compares approved incentive projects, not firms.</w:t>
      </w:r>
    </w:p>
    <w:p>
      <w:pPr>
        <w:pStyle w:val="BodyText"/>
      </w:pPr>
      <w:r>
        <w:t xml:space="preserve">Ownership of registered capital differs by layer. In Activity 8.1.1 software projects, 46 per cent of registered capital is Thai-held and 54 per cent foreign-held. In data-centre projects the split is 15 per cent Thai and 85 per cent foreign. In the single data-hosting project all registered capital is foreign. The Thai-held share therefore falls from 46 to 15 to 0 per cent with depth into the infrastructure stack. This gradient rests on three points, one of which is a single project, and it is a description of who holds capital in approved projects. It does not show whether Thai firms were excluded, and it is the pattern a cost-based account also predicts (Section 5.2). Lehdonvirta, Wú and Hawkins (2025) show that the global reach of cloud data centres is shaped by the economic and security interests of a few home states, which is one reason to expect foreign capital in this layer independently of Thai incentive design.</w:t>
      </w:r>
    </w:p>
    <w:p>
      <w:pPr>
        <w:pStyle w:val="BodyText"/>
      </w:pPr>
      <w:r>
        <w:t xml:space="preserve">A further observation bears on the offshoring channel discussed in Section 2.2. The Trade and Investment Support Office category, which explicitly includes internationally delivered business-process outsourcing, receives the lowest incentive tier in the division, with no corporate income tax exemption. This is an activity exposed to AI-driven automation and receives the least support.</w:t>
      </w:r>
    </w:p>
    <w:bookmarkEnd w:id="33"/>
    <w:bookmarkStart w:id="34" w:name="vietnam"/>
    <w:p>
      <w:pPr>
        <w:pStyle w:val="Heading3"/>
      </w:pPr>
      <w:r>
        <w:t xml:space="preserve">4.2 Vietnam</w:t>
      </w:r>
    </w:p>
    <w:p>
      <w:pPr>
        <w:pStyle w:val="FirstParagraph"/>
      </w:pPr>
      <w:r>
        <w:t xml:space="preserve">Decree 260/2026, implementing the Law on High Technology, took effect on 1 July 2026 and sets two tracks (Vietnam, 2026a). The first, for recognised research centres, imposes demanding conditions: at least 60 per cent of staff in research and development (70 per cent for strategically designated technology), and research spending of 65 to 70 per cent of annual operating budget. These conditions restrict the track to purpose-built research institutions.</w:t>
      </w:r>
      <w:r>
        <w:t xml:space="preserve"> </w:t>
      </w:r>
      <w:r>
        <w:rPr>
          <w:bCs/>
          <w:b/>
        </w:rPr>
        <w:t xml:space="preserve">[VERIFY: percentage thresholds against the decree text.]</w:t>
      </w:r>
    </w:p>
    <w:p>
      <w:pPr>
        <w:pStyle w:val="BodyText"/>
      </w:pPr>
      <w:r>
        <w:t xml:space="preserve">The second track, for recognised startups, is more accessible. It requires only demonstrated revenue growth or a commercialisation-ready technology. Qualifying startups receive the full incentive package, fee exemptions for state research facilities, and priority access to the National Venture Capital Fund, a direct equity instrument distinct from the National Technology Innovation Fund, which provides subsidised lending. This is the clearest instance in our data of explicit accommodation for new firms, and part of it is delivered by direct, not tax-based, means.</w:t>
      </w:r>
      <w:r>
        <w:t xml:space="preserve"> </w:t>
      </w:r>
      <w:r>
        <w:rPr>
          <w:bCs/>
          <w:b/>
        </w:rPr>
        <w:t xml:space="preserve">[VERIFY: Article 11 provisions and the fund distinction.]</w:t>
      </w:r>
    </w:p>
    <w:p>
      <w:pPr>
        <w:pStyle w:val="BodyText"/>
      </w:pPr>
      <w:r>
        <w:t xml:space="preserve">Decision 21/2026, which replaced a 2025 list, groups thirty strategic technology products into two priority tiers (Vietnam, 2026b). The top tier, of market-ready products with large direct economic impact, includes Vietnamese-language large language models, virtual assistants and specialised AI systems, and also cloud-computing platforms as a separate line item. The lower tier, of future and foundational technologies, includes specialised chips, quantum technologies and satellite systems. Vietnam therefore places cloud and compute provision in the same top tier as models and applications and assigns specialised chips to the lower tier. Within the four-layer scheme the boundary in Vietnam falls at layer (iv), hardware manufacture, not at layers (ii) or (iii). Edge-processing AI cameras and digital-twin platforms are also top-tier items, but they are application products, and we do not count them as evidence about compute provision</w:t>
      </w:r>
      <w:r>
        <w:t xml:space="preserve"> </w:t>
      </w:r>
      <w:r>
        <w:rPr>
          <w:bCs/>
          <w:b/>
        </w:rPr>
        <w:t xml:space="preserve">[PENDING: the first coding placed them in layer (ii); recode them as layer (i) and confirm in Table S1]</w:t>
      </w:r>
      <w:r>
        <w:t xml:space="preserve">.</w:t>
      </w:r>
    </w:p>
    <w:p>
      <w:pPr>
        <w:pStyle w:val="BodyText"/>
      </w:pPr>
      <w:r>
        <w:t xml:space="preserve">Vietnam’s design differs from Thailand’s in kind. Thailand and Malaysia define eligibility through activity-specific capital thresholds. Vietnam sets priority through a list of strategic technologies that carries no stated capital rule. A list-based design does not generate a capital gradient, which may be why none appears in Vietnam. The same design moves gatekeeping to discretionary designation and to other instruments whose effect on access we have not coded, so this is a hypothesis about origin, not a finding about access.</w:t>
      </w:r>
    </w:p>
    <w:p>
      <w:pPr>
        <w:pStyle w:val="BodyText"/>
      </w:pPr>
      <w:r>
        <w:t xml:space="preserve">Vietnam’s realised concentration at the infrastructure layer, illustrated by a large AI data centre announced for Ho Chi Minh City in 2026 and financed by the country’s largest conglomerate, cannot be attributed to incentive rules that exclude smaller firms from that layer, because those rules do not do so. It is more plausibly a market-structure outcome. Government data are consistent with that reading: hardware and electronics enterprises are under 10 per cent of Vietnam’s information and communication technology enterprises but over 90 per cent of industry revenue, and are overwhelmingly foreign-invested, while software, digital content and services enterprises are predominantly domestic (Vietnam, Ministry of Information and Communications, 2024). Of 9,348 operating enterprises in computer programming and related activities at the end of 2022, 57.9 per cent employed fewer than five people and 35.7 per cent employed between five and 49 (Vietnam, General Statistics Office, 2024). That is a base of micro and small firms, which the startup carve-out would be expected to serve.</w:t>
      </w:r>
      <w:r>
        <w:t xml:space="preserve"> </w:t>
      </w:r>
      <w:r>
        <w:rPr>
          <w:bCs/>
          <w:b/>
        </w:rPr>
        <w:t xml:space="preserve">[VERIFY: all three statistical figures against the cited sources.]</w:t>
      </w:r>
    </w:p>
    <w:bookmarkEnd w:id="34"/>
    <w:bookmarkStart w:id="35" w:name="malaysia"/>
    <w:p>
      <w:pPr>
        <w:pStyle w:val="Heading3"/>
      </w:pPr>
      <w:r>
        <w:t xml:space="preserve">4.3 Malaysia</w:t>
      </w:r>
    </w:p>
    <w:p>
      <w:pPr>
        <w:pStyle w:val="FirstParagraph"/>
      </w:pPr>
      <w:r>
        <w:t xml:space="preserve">Malaysia runs two parallel schemes. The Malaysia Digital tax incentive, covering software and digital services including AI, requires only RM50,000 (about US$11,000) of minimum paid-up capital, the lowest entry threshold across the four countries (Malaysia Digital Economy Corporation, 2024). Against this stands a recurring compliance burden: an annual self-declaration verified by an externally appointed auditor at the firm’s own expense. The cost is largely fixed, so it weighs more heavily on a firm capitalised at that level. This is the mechanism Bahar et al. (2026) identify for Japan, operating here through compliance cost and not through a capital threshold.</w:t>
      </w:r>
    </w:p>
    <w:p>
      <w:pPr>
        <w:pStyle w:val="BodyText"/>
      </w:pPr>
      <w:r>
        <w:t xml:space="preserve">The Digital Ecosystem Acceleration scheme (DESAC), covering data centres and cloud infrastructure, uses a graduated structure (Malaysian Investment Development Authority, 2022). Entry-level eligibility requires RM2.5 million (about US$550,000) of paid-up capital, and the full ten-year highest-rate benefit requires cumulative capital expenditure of RM1 billion (about US$220 million), which exceeds Thailand’s threshold in dollar terms. A separate, lower threshold applies to existing firms expanding. The structure is a continuous pathway from small to large, in contrast with a single gate, but at the deepest tier its practical effect is comparable.</w:t>
      </w:r>
    </w:p>
    <w:p>
      <w:pPr>
        <w:pStyle w:val="BodyText"/>
      </w:pPr>
      <w:r>
        <w:t xml:space="preserve">In the 2025 budget address, officials indicated that the earlier approach to data-centre incentives was no longer viewed as sustainable, on the grounds that large capital-intensive projects do not reliably translate into substantial high-skilled employment for Malaysian workers, and the government has since begun a formal restructuring</w:t>
      </w:r>
      <w:r>
        <w:t xml:space="preserve"> </w:t>
      </w:r>
      <w:r>
        <w:rPr>
          <w:bCs/>
          <w:b/>
        </w:rPr>
        <w:t xml:space="preserve">[VERIFY: speaker names, dates and wording of the 2025 budget statements, which are listed as unverified]</w:t>
      </w:r>
      <w:r>
        <w:t xml:space="preserve">. This shows that policymakers saw a problem with the existing design. It does not show that firm-size bias is the cause, since a low employment yield per unit of capital is also what a capital-intensive activity produces. We therefore treat it as weak evidence between the hypotheses (Table 4).</w:t>
      </w:r>
    </w:p>
    <w:p>
      <w:pPr>
        <w:pStyle w:val="BodyText"/>
      </w:pPr>
      <w:r>
        <w:t xml:space="preserve">The scheme also requires that at least half of a data centre’s full-time staff be Malaysian nationals earning above a specified salary level. A requirement stated as a proportion is not a scale filter, since a ten-person firm can meet it as readily as a thousand-person firm, and we record it as an exploratory observation outside the central mechanism.</w:t>
      </w:r>
    </w:p>
    <w:bookmarkEnd w:id="35"/>
    <w:bookmarkStart w:id="36" w:name="the-philippines"/>
    <w:p>
      <w:pPr>
        <w:pStyle w:val="Heading3"/>
      </w:pPr>
      <w:r>
        <w:t xml:space="preserve">4.4 The Philippines</w:t>
      </w:r>
    </w:p>
    <w:p>
      <w:pPr>
        <w:pStyle w:val="FirstParagraph"/>
      </w:pPr>
      <w:r>
        <w:t xml:space="preserve">The Philippine architecture, established under the CREATE MORE Act, differs structurally from the other three (Philippines, 2024; Philippines, Fiscal Incentives Review Board, 2025). Standard registration carries no stated minimum investment; eligibility depends on inclusion in the Strategic Investment Priority Plan, on ownership qualifications and on a cost-benefit evaluation, not on firm size directly.</w:t>
      </w:r>
    </w:p>
    <w:p>
      <w:pPr>
        <w:pStyle w:val="BodyText"/>
      </w:pPr>
      <w:r>
        <w:t xml:space="preserve">Above this baseline sits a firm-scale threshold at PHP 15 billion (about US$260 million), which both defines a high-value domestic market enterprise and determines whether incentives are granted by the investment promotion agency or escalated to the Fiscal Incentives Review Board, with availment periods reaching 24 to 27 years. Beyond this the President may modify the mix, period and manner of availment, or craft a bespoke package, for a project designated highly desirable, with total incentives capped at forty years. This presidential mechanism is discretionary and, in the statutory text we examined, is not tied to a stated investment figure.</w:t>
      </w:r>
    </w:p>
    <w:p>
      <w:pPr>
        <w:pStyle w:val="BodyText"/>
      </w:pPr>
      <w:r>
        <w:t xml:space="preserve">These firm-scale tiers apply uniformly regardless of activity type, and the Strategic Investment Priority Plan groups AI and data-centre infrastructure in the same priority tier</w:t>
      </w:r>
      <w:r>
        <w:t xml:space="preserve"> </w:t>
      </w:r>
      <w:r>
        <w:rPr>
          <w:bCs/>
          <w:b/>
        </w:rPr>
        <w:t xml:space="preserve">[VERIFY: edition and date of the Plan and its exact treatment of AI relative to data-centre infrastructure]</w:t>
      </w:r>
      <w:r>
        <w:t xml:space="preserve">. The Philippines therefore encodes no boundary between AI applications and AI infrastructure; its gradient operates on firm scale alone. Cucio and Hennig (2025) find that roughly one third of Philippine occupations are highly exposed to AI, with around 60 per cent of that exposed employment complementary to AI and not substitutable by it, which suggests augmentation more than displacement for much of the exposed workforce.</w:t>
      </w:r>
    </w:p>
    <w:bookmarkEnd w:id="36"/>
    <w:bookmarkStart w:id="40" w:name="cross-country-synthesis"/>
    <w:p>
      <w:pPr>
        <w:pStyle w:val="Heading3"/>
      </w:pPr>
      <w:r>
        <w:t xml:space="preserve">4.5 Cross-country synthesis</w:t>
      </w:r>
    </w:p>
    <w:p>
      <w:pPr>
        <w:pStyle w:val="FirstParagraph"/>
      </w:pPr>
      <w:r>
        <w:t xml:space="preserve">Table 3 sets out the coded dimensions. Read through the four-layer scheme, the countries do not divide into three cases of bifurcation and one exception. They divide by where the access boundary falls.</w:t>
      </w:r>
    </w:p>
    <w:p>
      <w:pPr>
        <w:pStyle w:val="BodyText"/>
      </w:pPr>
      <w:r>
        <w:rPr>
          <w:bCs/>
          <w:b/>
        </w:rPr>
        <w:t xml:space="preserve">Table 3. Coded incentive dimensions by country and layer of the AI technology stack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Dimension</w:t>
            </w:r>
          </w:p>
        </w:tc>
        <w:tc>
          <w:tcPr/>
          <w:p>
            <w:pPr>
              <w:pStyle w:val="Compact"/>
              <w:jc w:val="left"/>
            </w:pPr>
            <w:r>
              <w:t xml:space="preserve">Thailand</w:t>
            </w:r>
          </w:p>
        </w:tc>
        <w:tc>
          <w:tcPr/>
          <w:p>
            <w:pPr>
              <w:pStyle w:val="Compact"/>
              <w:jc w:val="left"/>
            </w:pPr>
            <w:r>
              <w:t xml:space="preserve">Vietnam</w:t>
            </w:r>
          </w:p>
        </w:tc>
        <w:tc>
          <w:tcPr/>
          <w:p>
            <w:pPr>
              <w:pStyle w:val="Compact"/>
              <w:jc w:val="left"/>
            </w:pPr>
            <w:r>
              <w:t xml:space="preserve">Malaysia</w:t>
            </w:r>
          </w:p>
        </w:tc>
        <w:tc>
          <w:tcPr/>
          <w:p>
            <w:pPr>
              <w:pStyle w:val="Compact"/>
              <w:jc w:val="left"/>
            </w:pPr>
            <w:r>
              <w:t xml:space="preserve">Philippines</w:t>
            </w:r>
          </w:p>
        </w:tc>
      </w:tr>
      <w:tr>
        <w:tc>
          <w:tcPr/>
          <w:p>
            <w:pPr>
              <w:pStyle w:val="Compact"/>
              <w:jc w:val="left"/>
            </w:pPr>
            <w:r>
              <w:t xml:space="preserve">Applications and models</w:t>
            </w:r>
          </w:p>
        </w:tc>
        <w:tc>
          <w:tcPr/>
          <w:p>
            <w:pPr>
              <w:pStyle w:val="Compact"/>
              <w:jc w:val="left"/>
            </w:pPr>
            <w:r>
              <w:t xml:space="preserve">Accessible: about US$42,000 per year in local salary spend</w:t>
            </w:r>
          </w:p>
        </w:tc>
        <w:tc>
          <w:tcPr/>
          <w:p>
            <w:pPr>
              <w:pStyle w:val="Compact"/>
              <w:jc w:val="left"/>
            </w:pPr>
            <w:r>
              <w:t xml:space="preserve">Accessible: named top-tier strategic priority</w:t>
            </w:r>
          </w:p>
        </w:tc>
        <w:tc>
          <w:tcPr/>
          <w:p>
            <w:pPr>
              <w:pStyle w:val="Compact"/>
              <w:jc w:val="left"/>
            </w:pPr>
            <w:r>
              <w:t xml:space="preserve">Accessible: about US$11,000 paid-up capital</w:t>
            </w:r>
          </w:p>
        </w:tc>
        <w:tc>
          <w:tcPr/>
          <w:p>
            <w:pPr>
              <w:pStyle w:val="Compact"/>
              <w:jc w:val="left"/>
            </w:pPr>
            <w:r>
              <w:t xml:space="preserve">Accessible: no stated minimum investment</w:t>
            </w:r>
          </w:p>
        </w:tc>
      </w:tr>
      <w:tr>
        <w:tc>
          <w:tcPr/>
          <w:p>
            <w:pPr>
              <w:pStyle w:val="Compact"/>
              <w:jc w:val="left"/>
            </w:pPr>
            <w:r>
              <w:t xml:space="preserve">Cloud and compute services</w:t>
            </w:r>
          </w:p>
        </w:tc>
        <w:tc>
          <w:tcPr/>
          <w:p>
            <w:pPr>
              <w:pStyle w:val="Compact"/>
              <w:jc w:val="left"/>
            </w:pPr>
            <w:r>
              <w:t xml:space="preserve">Not separately provided for</w:t>
            </w:r>
          </w:p>
        </w:tc>
        <w:tc>
          <w:tcPr/>
          <w:p>
            <w:pPr>
              <w:pStyle w:val="Compact"/>
              <w:jc w:val="left"/>
            </w:pPr>
            <w:r>
              <w:t xml:space="preserve">Top tier, same as applications</w:t>
            </w:r>
          </w:p>
        </w:tc>
        <w:tc>
          <w:tcPr/>
          <w:p>
            <w:pPr>
              <w:pStyle w:val="Compact"/>
              <w:jc w:val="left"/>
            </w:pPr>
            <w:r>
              <w:t xml:space="preserve">Within DESAC; entry about US$550,000</w:t>
            </w:r>
          </w:p>
        </w:tc>
        <w:tc>
          <w:tcPr/>
          <w:p>
            <w:pPr>
              <w:pStyle w:val="Compact"/>
              <w:jc w:val="left"/>
            </w:pPr>
            <w:r>
              <w:t xml:space="preserve">Same priority tier as AI applications</w:t>
            </w:r>
          </w:p>
        </w:tc>
      </w:tr>
      <w:tr>
        <w:tc>
          <w:tcPr/>
          <w:p>
            <w:pPr>
              <w:pStyle w:val="Compact"/>
              <w:jc w:val="left"/>
            </w:pPr>
            <w:r>
              <w:t xml:space="preserve">Physical data-centre capacity</w:t>
            </w:r>
          </w:p>
        </w:tc>
        <w:tc>
          <w:tcPr/>
          <w:p>
            <w:pPr>
              <w:pStyle w:val="Compact"/>
              <w:jc w:val="left"/>
            </w:pPr>
            <w:r>
              <w:t xml:space="preserve">Restricted: about US$140 million minimum</w:t>
            </w:r>
          </w:p>
        </w:tc>
        <w:tc>
          <w:tcPr/>
          <w:p>
            <w:pPr>
              <w:pStyle w:val="Compact"/>
              <w:jc w:val="left"/>
            </w:pPr>
            <w:r>
              <w:t xml:space="preserve">No stated capital threshold</w:t>
            </w:r>
          </w:p>
        </w:tc>
        <w:tc>
          <w:tcPr/>
          <w:p>
            <w:pPr>
              <w:pStyle w:val="Compact"/>
              <w:jc w:val="left"/>
            </w:pPr>
            <w:r>
              <w:t xml:space="preserve">Graduated: entry about US$550,000; top tier about US$220 million</w:t>
            </w:r>
          </w:p>
        </w:tc>
        <w:tc>
          <w:tcPr/>
          <w:p>
            <w:pPr>
              <w:pStyle w:val="Compact"/>
              <w:jc w:val="left"/>
            </w:pPr>
            <w:r>
              <w:t xml:space="preserve">No stated minimum; scale tiers apply</w:t>
            </w:r>
          </w:p>
        </w:tc>
      </w:tr>
      <w:tr>
        <w:tc>
          <w:tcPr/>
          <w:p>
            <w:pPr>
              <w:pStyle w:val="Compact"/>
              <w:jc w:val="left"/>
            </w:pPr>
            <w:r>
              <w:t xml:space="preserve">Hardware manufacture</w:t>
            </w:r>
          </w:p>
        </w:tc>
        <w:tc>
          <w:tcPr/>
          <w:p>
            <w:pPr>
              <w:pStyle w:val="Compact"/>
              <w:jc w:val="left"/>
            </w:pPr>
            <w:r>
              <w:t xml:space="preserve">Separate activity divisions</w:t>
            </w:r>
          </w:p>
        </w:tc>
        <w:tc>
          <w:tcPr/>
          <w:p>
            <w:pPr>
              <w:pStyle w:val="Compact"/>
              <w:jc w:val="left"/>
            </w:pPr>
            <w:r>
              <w:t xml:space="preserve">Lower priority tier (specialised chips)</w:t>
            </w:r>
          </w:p>
        </w:tc>
        <w:tc>
          <w:tcPr/>
          <w:p>
            <w:pPr>
              <w:pStyle w:val="Compact"/>
              <w:jc w:val="left"/>
            </w:pPr>
            <w:r>
              <w:t xml:space="preserve">Separate schemes</w:t>
            </w:r>
          </w:p>
        </w:tc>
        <w:tc>
          <w:tcPr/>
          <w:p>
            <w:pPr>
              <w:pStyle w:val="Compact"/>
              <w:jc w:val="left"/>
            </w:pPr>
            <w:r>
              <w:t xml:space="preserve">No distinct treatment</w:t>
            </w:r>
          </w:p>
        </w:tc>
      </w:tr>
      <w:tr>
        <w:tc>
          <w:tcPr/>
          <w:p>
            <w:pPr>
              <w:pStyle w:val="Compact"/>
              <w:jc w:val="left"/>
            </w:pPr>
            <w:r>
              <w:t xml:space="preserve">Instrument aimed at compute provision below facility scale</w:t>
            </w:r>
          </w:p>
        </w:tc>
        <w:tc>
          <w:tcPr/>
          <w:p>
            <w:pPr>
              <w:pStyle w:val="Compact"/>
              <w:jc w:val="left"/>
            </w:pPr>
            <w:r>
              <w:t xml:space="preserve">None identified (</w:t>
            </w:r>
            <w:r>
              <w:rPr>
                <w:bCs/>
                <w:b/>
              </w:rPr>
              <w:t xml:space="preserve">PENDING</w:t>
            </w:r>
            <w:r>
              <w:t xml:space="preserve"> </w:t>
            </w:r>
            <w:r>
              <w:t xml:space="preserve">search protocol)</w:t>
            </w:r>
          </w:p>
        </w:tc>
        <w:tc>
          <w:tcPr/>
          <w:p>
            <w:pPr>
              <w:pStyle w:val="Compact"/>
              <w:jc w:val="left"/>
            </w:pPr>
            <w:r>
              <w:t xml:space="preserve">None identified (</w:t>
            </w:r>
            <w:r>
              <w:rPr>
                <w:bCs/>
                <w:b/>
              </w:rPr>
              <w:t xml:space="preserve">PENDING</w:t>
            </w:r>
            <w:r>
              <w:t xml:space="preserve">)</w:t>
            </w:r>
          </w:p>
        </w:tc>
        <w:tc>
          <w:tcPr/>
          <w:p>
            <w:pPr>
              <w:pStyle w:val="Compact"/>
              <w:jc w:val="left"/>
            </w:pPr>
            <w:r>
              <w:t xml:space="preserve">Nearest candidate: DESAC entry tier (RM2.5m paid-up capital); whether a sub-facility provider qualifies is</w:t>
            </w:r>
            <w:r>
              <w:t xml:space="preserve"> </w:t>
            </w:r>
            <w:r>
              <w:rPr>
                <w:bCs/>
                <w:b/>
              </w:rPr>
              <w:t xml:space="preserve">PENDING</w:t>
            </w:r>
          </w:p>
        </w:tc>
        <w:tc>
          <w:tcPr/>
          <w:p>
            <w:pPr>
              <w:pStyle w:val="Compact"/>
              <w:jc w:val="left"/>
            </w:pPr>
            <w:r>
              <w:t xml:space="preserve">None identified (</w:t>
            </w:r>
            <w:r>
              <w:rPr>
                <w:bCs/>
                <w:b/>
              </w:rPr>
              <w:t xml:space="preserve">PENDING</w:t>
            </w:r>
            <w:r>
              <w:t xml:space="preserve">)</w:t>
            </w:r>
          </w:p>
        </w:tc>
      </w:tr>
      <w:tr>
        <w:tc>
          <w:tcPr/>
          <w:p>
            <w:pPr>
              <w:pStyle w:val="Compact"/>
              <w:jc w:val="left"/>
            </w:pPr>
            <w:r>
              <w:t xml:space="preserve">Accommodation for small or new firms</w:t>
            </w:r>
          </w:p>
        </w:tc>
        <w:tc>
          <w:tcPr/>
          <w:p>
            <w:pPr>
              <w:pStyle w:val="Compact"/>
              <w:jc w:val="left"/>
            </w:pPr>
            <w:r>
              <w:t xml:space="preserve">None within AI categories</w:t>
            </w:r>
          </w:p>
        </w:tc>
        <w:tc>
          <w:tcPr/>
          <w:p>
            <w:pPr>
              <w:pStyle w:val="Compact"/>
              <w:jc w:val="left"/>
            </w:pPr>
            <w:r>
              <w:t xml:space="preserve">Startup track (Decree 260, Art. 11)</w:t>
            </w:r>
          </w:p>
        </w:tc>
        <w:tc>
          <w:tcPr/>
          <w:p>
            <w:pPr>
              <w:pStyle w:val="Compact"/>
              <w:jc w:val="left"/>
            </w:pPr>
            <w:r>
              <w:t xml:space="preserve">None; entry capital bar is low instead</w:t>
            </w:r>
          </w:p>
        </w:tc>
        <w:tc>
          <w:tcPr/>
          <w:p>
            <w:pPr>
              <w:pStyle w:val="Compact"/>
              <w:jc w:val="left"/>
            </w:pPr>
            <w:r>
              <w:t xml:space="preserve">None activity-specific</w:t>
            </w:r>
          </w:p>
        </w:tc>
      </w:tr>
      <w:tr>
        <w:tc>
          <w:tcPr/>
          <w:p>
            <w:pPr>
              <w:pStyle w:val="Compact"/>
              <w:jc w:val="left"/>
            </w:pPr>
            <w:r>
              <w:t xml:space="preserve">Delivery mechanism at accessible tier</w:t>
            </w:r>
          </w:p>
        </w:tc>
        <w:tc>
          <w:tcPr/>
          <w:p>
            <w:pPr>
              <w:pStyle w:val="Compact"/>
              <w:jc w:val="left"/>
            </w:pPr>
            <w:r>
              <w:t xml:space="preserve">Indirect (tax exemption)</w:t>
            </w:r>
          </w:p>
        </w:tc>
        <w:tc>
          <w:tcPr/>
          <w:p>
            <w:pPr>
              <w:pStyle w:val="Compact"/>
              <w:jc w:val="left"/>
            </w:pPr>
            <w:r>
              <w:t xml:space="preserve">Tax plus direct equity access</w:t>
            </w:r>
          </w:p>
        </w:tc>
        <w:tc>
          <w:tcPr/>
          <w:p>
            <w:pPr>
              <w:pStyle w:val="Compact"/>
              <w:jc w:val="left"/>
            </w:pPr>
            <w:r>
              <w:t xml:space="preserve">Indirect (tax exemption)</w:t>
            </w:r>
          </w:p>
        </w:tc>
        <w:tc>
          <w:tcPr/>
          <w:p>
            <w:pPr>
              <w:pStyle w:val="Compact"/>
              <w:jc w:val="left"/>
            </w:pPr>
            <w:r>
              <w:t xml:space="preserve">Indirect (tax exemption)</w:t>
            </w:r>
          </w:p>
        </w:tc>
      </w:tr>
      <w:tr>
        <w:tc>
          <w:tcPr/>
          <w:p>
            <w:pPr>
              <w:pStyle w:val="Compact"/>
              <w:jc w:val="left"/>
            </w:pPr>
            <w:r>
              <w:t xml:space="preserve">Recurring compliance burden</w:t>
            </w:r>
          </w:p>
        </w:tc>
        <w:tc>
          <w:tcPr/>
          <w:p>
            <w:pPr>
              <w:pStyle w:val="Compact"/>
              <w:jc w:val="left"/>
            </w:pPr>
            <w:r>
              <w:t xml:space="preserve">Certification regime at infrastructure tier</w:t>
            </w:r>
          </w:p>
        </w:tc>
        <w:tc>
          <w:tcPr/>
          <w:p>
            <w:pPr>
              <w:pStyle w:val="Compact"/>
              <w:jc w:val="left"/>
            </w:pPr>
            <w:r>
              <w:t xml:space="preserve">R&amp;D staffing and spending ratios (research track)</w:t>
            </w:r>
          </w:p>
        </w:tc>
        <w:tc>
          <w:tcPr/>
          <w:p>
            <w:pPr>
              <w:pStyle w:val="Compact"/>
              <w:jc w:val="left"/>
            </w:pPr>
            <w:r>
              <w:t xml:space="preserve">Annual auditor-verified self-declaration</w:t>
            </w:r>
          </w:p>
        </w:tc>
        <w:tc>
          <w:tcPr/>
          <w:p>
            <w:pPr>
              <w:pStyle w:val="Compact"/>
              <w:jc w:val="left"/>
            </w:pPr>
            <w:r>
              <w:t xml:space="preserve">FIRB escalation above PHP 15 billion</w:t>
            </w:r>
          </w:p>
        </w:tc>
      </w:tr>
      <w:tr>
        <w:tc>
          <w:tcPr/>
          <w:p>
            <w:pPr>
              <w:pStyle w:val="Compact"/>
              <w:jc w:val="left"/>
            </w:pPr>
            <w:r>
              <w:t xml:space="preserve">Realised Thai-held share of registered capital, by layer</w:t>
            </w:r>
          </w:p>
        </w:tc>
        <w:tc>
          <w:tcPr/>
          <w:p>
            <w:pPr>
              <w:pStyle w:val="Compact"/>
              <w:jc w:val="left"/>
            </w:pPr>
            <w:r>
              <w:t xml:space="preserve">46% (software), 15% (data centres), 0% (one data-hosting project)</w:t>
            </w:r>
          </w:p>
        </w:tc>
        <w:tc>
          <w:tcPr/>
          <w:p>
            <w:pPr>
              <w:pStyle w:val="Compact"/>
              <w:jc w:val="left"/>
            </w:pPr>
            <w:r>
              <w:t xml:space="preserve">Not published in comparable form</w:t>
            </w:r>
          </w:p>
        </w:tc>
        <w:tc>
          <w:tcPr/>
          <w:p>
            <w:pPr>
              <w:pStyle w:val="Compact"/>
              <w:jc w:val="left"/>
            </w:pPr>
            <w:r>
              <w:t xml:space="preserve">Not published in comparable form</w:t>
            </w:r>
          </w:p>
        </w:tc>
        <w:tc>
          <w:tcPr/>
          <w:p>
            <w:pPr>
              <w:pStyle w:val="Compact"/>
              <w:jc w:val="left"/>
            </w:pPr>
            <w:r>
              <w:t xml:space="preserve">Not published in comparable form</w:t>
            </w:r>
          </w:p>
        </w:tc>
      </w:tr>
      <w:tr>
        <w:tc>
          <w:tcPr/>
          <w:p>
            <w:pPr>
              <w:pStyle w:val="Compact"/>
              <w:jc w:val="left"/>
            </w:pPr>
            <w:r>
              <w:t xml:space="preserve">Where the access boundary falls</w:t>
            </w:r>
          </w:p>
        </w:tc>
        <w:tc>
          <w:tcPr/>
          <w:p>
            <w:pPr>
              <w:pStyle w:val="Compact"/>
              <w:jc w:val="left"/>
            </w:pPr>
            <w:r>
              <w:t xml:space="preserve">Physical data-centre capacity (single cutoff)</w:t>
            </w:r>
          </w:p>
        </w:tc>
        <w:tc>
          <w:tcPr/>
          <w:p>
            <w:pPr>
              <w:pStyle w:val="Compact"/>
              <w:jc w:val="left"/>
            </w:pPr>
            <w:r>
              <w:t xml:space="preserve">Hardware manufacture</w:t>
            </w:r>
          </w:p>
        </w:tc>
        <w:tc>
          <w:tcPr/>
          <w:p>
            <w:pPr>
              <w:pStyle w:val="Compact"/>
              <w:jc w:val="left"/>
            </w:pPr>
            <w:r>
              <w:t xml:space="preserve">Physical data-centre capacity (graduated)</w:t>
            </w:r>
          </w:p>
        </w:tc>
        <w:tc>
          <w:tcPr/>
          <w:p>
            <w:pPr>
              <w:pStyle w:val="Compact"/>
              <w:jc w:val="left"/>
            </w:pPr>
            <w:r>
              <w:t xml:space="preserve">No activity boundary; firm scale only</w:t>
            </w:r>
          </w:p>
        </w:tc>
      </w:tr>
      <w:tr>
        <w:tc>
          <w:tcPr/>
          <w:p>
            <w:pPr>
              <w:pStyle w:val="Compact"/>
              <w:jc w:val="left"/>
            </w:pPr>
            <w:r>
              <w:t xml:space="preserve">Middle-income trap classification (Bianchi et al., 2024; used only for case selection)</w:t>
            </w:r>
          </w:p>
        </w:tc>
        <w:tc>
          <w:tcPr/>
          <w:p>
            <w:pPr>
              <w:pStyle w:val="Compact"/>
              <w:jc w:val="left"/>
            </w:pPr>
            <w:r>
              <w:t xml:space="preserve">Trapped by duration, structural progress</w:t>
            </w:r>
          </w:p>
        </w:tc>
        <w:tc>
          <w:tcPr/>
          <w:p>
            <w:pPr>
              <w:pStyle w:val="Compact"/>
              <w:jc w:val="left"/>
            </w:pPr>
            <w:r>
              <w:t xml:space="preserve">Threshold-crossing, no trap history</w:t>
            </w:r>
          </w:p>
        </w:tc>
        <w:tc>
          <w:tcPr/>
          <w:p>
            <w:pPr>
              <w:pStyle w:val="Compact"/>
              <w:jc w:val="left"/>
            </w:pPr>
            <w:r>
              <w:t xml:space="preserve">Trapped by duration, same category as Thailand</w:t>
            </w:r>
          </w:p>
        </w:tc>
        <w:tc>
          <w:tcPr/>
          <w:p>
            <w:pPr>
              <w:pStyle w:val="Compact"/>
              <w:jc w:val="left"/>
            </w:pPr>
            <w:r>
              <w:t xml:space="preserve">Threshold-crossing, prior trap at lower band</w:t>
            </w:r>
          </w:p>
        </w:tc>
      </w:tr>
      <w:tr>
        <w:tc>
          <w:tcPr/>
          <w:p>
            <w:pPr>
              <w:pStyle w:val="Compact"/>
              <w:jc w:val="left"/>
            </w:pPr>
            <w:r>
              <w:t xml:space="preserve">Covered by the middle-technology trap account of Ke (2024) (not a finding of this paper)</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bl>
    <w:p>
      <w:pPr>
        <w:pStyle w:val="BodyText"/>
      </w:pPr>
      <w:r>
        <w:rPr>
          <w:iCs/>
          <w:i/>
        </w:rPr>
        <w:t xml:space="preserve">Note.</w:t>
      </w:r>
      <w:r>
        <w:t xml:space="preserve"> </w:t>
      </w:r>
      <w:r>
        <w:t xml:space="preserve">Figures are approximate, converted from local currency at the rate when each instrument was coded</w:t>
      </w:r>
      <w:r>
        <w:t xml:space="preserve"> </w:t>
      </w:r>
      <w:r>
        <w:rPr>
          <w:bCs/>
          <w:b/>
        </w:rPr>
        <w:t xml:space="preserve">[PENDING: dates and rates]</w:t>
      </w:r>
      <w:r>
        <w:t xml:space="preserve">. Constructed from the primary documents in Table 1. DESAC = Digital Ecosystem Acceleration scheme; FIRB = Fiscal Incentives Review Board.</w:t>
      </w:r>
    </w:p>
    <w:p>
      <w:pPr>
        <w:pStyle w:val="BodyText"/>
      </w:pPr>
      <w:r>
        <w:t xml:space="preserve">We read the table along each dimension.</w:t>
      </w:r>
    </w:p>
    <w:p>
      <w:pPr>
        <w:pStyle w:val="BodyText"/>
      </w:pPr>
      <w:r>
        <w:rPr>
          <w:bCs/>
          <w:b/>
        </w:rPr>
        <w:t xml:space="preserve">Layer.</w:t>
      </w:r>
      <w:r>
        <w:t xml:space="preserve"> </w:t>
      </w:r>
      <w:r>
        <w:t xml:space="preserve">Thailand and Malaysia draw the boundary at data-centre capacity; Vietnam at hardware manufacture; the Philippines draws no boundary by activity. All four make the application layer accessible.</w:t>
      </w:r>
    </w:p>
    <w:p>
      <w:pPr>
        <w:pStyle w:val="BodyText"/>
      </w:pPr>
      <w:r>
        <w:rPr>
          <w:bCs/>
          <w:b/>
        </w:rPr>
        <w:t xml:space="preserve">Scale.</w:t>
      </w:r>
      <w:r>
        <w:t xml:space="preserve"> </w:t>
      </w:r>
      <w:r>
        <w:t xml:space="preserve">Entry thresholds at the application layer are low in every country (about US$11,000 to 42,000, or none stated). At the data-centre layer they range from about US$550,000 (Malaysia, entry tier) to about US$140 million (Thailand) and US$220 million (Malaysia, top tier). Vietnam states none, and the Philippines applies one firm-scale tier (PHP 15 billion) that is not specific to the layer.</w:t>
      </w:r>
    </w:p>
    <w:p>
      <w:pPr>
        <w:pStyle w:val="BodyText"/>
      </w:pPr>
      <w:r>
        <w:rPr>
          <w:bCs/>
          <w:b/>
        </w:rPr>
        <w:t xml:space="preserve">Vintage.</w:t>
      </w:r>
      <w:r>
        <w:t xml:space="preserve"> </w:t>
      </w:r>
      <w:r>
        <w:t xml:space="preserve">Only Vietnam has an explicit startup track. Thailand’s most generous research tier and the Philippines’ escalation tier presuppose scale or a revenue base. Malaysia’s lowest tier presupposes a fixed compliance cost.</w:t>
      </w:r>
    </w:p>
    <w:p>
      <w:pPr>
        <w:pStyle w:val="BodyText"/>
      </w:pPr>
      <w:r>
        <w:rPr>
          <w:bCs/>
          <w:b/>
        </w:rPr>
        <w:t xml:space="preserve">Delivery.</w:t>
      </w:r>
      <w:r>
        <w:t xml:space="preserve"> </w:t>
      </w:r>
      <w:r>
        <w:t xml:space="preserve">Three of the four deliver the accessible tier entirely through indirect, tax-based instruments, which presuppose taxable profit. Only Vietnam adds a direct instrument (equity access).</w:t>
      </w:r>
    </w:p>
    <w:p>
      <w:pPr>
        <w:pStyle w:val="BodyText"/>
      </w:pPr>
      <w:r>
        <w:rPr>
          <w:bCs/>
          <w:b/>
        </w:rPr>
        <w:t xml:space="preserve">Is the pattern specific to AI?</w:t>
      </w:r>
      <w:r>
        <w:t xml:space="preserve"> </w:t>
      </w:r>
      <w:r>
        <w:t xml:space="preserve">The Philippines’ uniform scale tiers and Thailand’s competitiveness mechanism look like general investment-promotion templates that AI was placed under, a reading consistent with H3.</w:t>
      </w:r>
      <w:r>
        <w:t xml:space="preserve"> </w:t>
      </w:r>
      <w:r>
        <w:rPr>
          <w:bCs/>
          <w:b/>
        </w:rPr>
        <w:t xml:space="preserve">[PENDING: confirm by comparing each AI-related instrument with the same country’s pre-AI instruments for other sectors; this requires the general-instrument coding in Section 3.3.]</w:t>
      </w:r>
    </w:p>
    <w:p>
      <w:pPr>
        <w:pStyle w:val="BodyText"/>
      </w:pPr>
      <w:r>
        <w:rPr>
          <w:bCs/>
          <w:b/>
        </w:rPr>
        <w:t xml:space="preserve">Why does Vietnam differ?</w:t>
      </w:r>
      <w:r>
        <w:t xml:space="preserve"> </w:t>
      </w:r>
      <w:r>
        <w:t xml:space="preserve">The most direct explanation is the difference in instrument type noted in Section 4.2: a priority list without capital rules, against activity-specific thresholds. Vietnam’s law is also the most recent of the four, written after cloud and AI became explicit policy priorities. We offer these as hypotheses; we cannot test them with the present data.</w:t>
      </w:r>
    </w:p>
    <w:p>
      <w:pPr>
        <w:pStyle w:val="BodyText"/>
      </w:pPr>
      <w:r>
        <w:rPr>
          <w:bCs/>
          <w:b/>
        </w:rPr>
        <w:t xml:space="preserve">Four architectures.</w:t>
      </w:r>
      <w:r>
        <w:t xml:space="preserve"> </w:t>
      </w:r>
      <w:r>
        <w:t xml:space="preserve">The differences above group into four ways of setting eligibility, which Table 5 summarises and Figure 1 shows on a common scale.</w:t>
      </w:r>
    </w:p>
    <w:p>
      <w:pPr>
        <w:pStyle w:val="BodyText"/>
      </w:pPr>
      <w:r>
        <w:rPr>
          <w:bCs/>
          <w:b/>
        </w:rPr>
        <w:t xml:space="preserve">Table 5. Four incentive architectures and what they imply for a small entrant at the compute layer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Architecture</w:t>
            </w:r>
          </w:p>
        </w:tc>
        <w:tc>
          <w:tcPr/>
          <w:p>
            <w:pPr>
              <w:pStyle w:val="Compact"/>
              <w:jc w:val="left"/>
            </w:pPr>
            <w:r>
              <w:t xml:space="preserve">Country</w:t>
            </w:r>
          </w:p>
        </w:tc>
        <w:tc>
          <w:tcPr/>
          <w:p>
            <w:pPr>
              <w:pStyle w:val="Compact"/>
              <w:jc w:val="left"/>
            </w:pPr>
            <w:r>
              <w:t xml:space="preserve">How eligibility is set</w:t>
            </w:r>
          </w:p>
        </w:tc>
        <w:tc>
          <w:tcPr/>
          <w:p>
            <w:pPr>
              <w:pStyle w:val="Compact"/>
              <w:jc w:val="left"/>
            </w:pPr>
            <w:r>
              <w:t xml:space="preserve">Where the barrier sits</w:t>
            </w:r>
          </w:p>
        </w:tc>
        <w:tc>
          <w:tcPr/>
          <w:p>
            <w:pPr>
              <w:pStyle w:val="Compact"/>
              <w:jc w:val="left"/>
            </w:pPr>
            <w:r>
              <w:t xml:space="preserve">Implication for a small entrant to compute provision</w:t>
            </w:r>
          </w:p>
        </w:tc>
        <w:tc>
          <w:tcPr/>
          <w:p>
            <w:pPr>
              <w:pStyle w:val="Compact"/>
              <w:jc w:val="left"/>
            </w:pPr>
            <w:r>
              <w:t xml:space="preserve">Main design risk</w:t>
            </w:r>
          </w:p>
        </w:tc>
      </w:tr>
      <w:tr>
        <w:tc>
          <w:tcPr/>
          <w:p>
            <w:pPr>
              <w:pStyle w:val="Compact"/>
              <w:jc w:val="left"/>
            </w:pPr>
            <w:r>
              <w:t xml:space="preserve">Single gate</w:t>
            </w:r>
          </w:p>
        </w:tc>
        <w:tc>
          <w:tcPr/>
          <w:p>
            <w:pPr>
              <w:pStyle w:val="Compact"/>
              <w:jc w:val="left"/>
            </w:pPr>
            <w:r>
              <w:t xml:space="preserve">Thailand</w:t>
            </w:r>
          </w:p>
        </w:tc>
        <w:tc>
          <w:tcPr/>
          <w:p>
            <w:pPr>
              <w:pStyle w:val="Compact"/>
              <w:jc w:val="left"/>
            </w:pPr>
            <w:r>
              <w:t xml:space="preserve">Activity-specific minimum capital</w:t>
            </w:r>
          </w:p>
        </w:tc>
        <w:tc>
          <w:tcPr/>
          <w:p>
            <w:pPr>
              <w:pStyle w:val="Compact"/>
              <w:jc w:val="left"/>
            </w:pPr>
            <w:r>
              <w:t xml:space="preserve">A step at the data-hosting activity (about US$140m)</w:t>
            </w:r>
          </w:p>
        </w:tc>
        <w:tc>
          <w:tcPr/>
          <w:p>
            <w:pPr>
              <w:pStyle w:val="Compact"/>
              <w:jc w:val="left"/>
            </w:pPr>
            <w:r>
              <w:t xml:space="preserve">No rung between the software threshold and the data-centre threshold</w:t>
            </w:r>
          </w:p>
        </w:tc>
        <w:tc>
          <w:tcPr/>
          <w:p>
            <w:pPr>
              <w:pStyle w:val="Compact"/>
              <w:jc w:val="left"/>
            </w:pPr>
            <w:r>
              <w:t xml:space="preserve">A large gap between layers</w:t>
            </w:r>
          </w:p>
        </w:tc>
      </w:tr>
      <w:tr>
        <w:tc>
          <w:tcPr/>
          <w:p>
            <w:pPr>
              <w:pStyle w:val="Compact"/>
              <w:jc w:val="left"/>
            </w:pPr>
            <w:r>
              <w:t xml:space="preserve">Graduated ladder</w:t>
            </w:r>
          </w:p>
        </w:tc>
        <w:tc>
          <w:tcPr/>
          <w:p>
            <w:pPr>
              <w:pStyle w:val="Compact"/>
              <w:jc w:val="left"/>
            </w:pPr>
            <w:r>
              <w:t xml:space="preserve">Malaysia</w:t>
            </w:r>
          </w:p>
        </w:tc>
        <w:tc>
          <w:tcPr/>
          <w:p>
            <w:pPr>
              <w:pStyle w:val="Compact"/>
              <w:jc w:val="left"/>
            </w:pPr>
            <w:r>
              <w:t xml:space="preserve">Paid-up capital tiers rising to a full benefit at RM1bn capex</w:t>
            </w:r>
          </w:p>
        </w:tc>
        <w:tc>
          <w:tcPr/>
          <w:p>
            <w:pPr>
              <w:pStyle w:val="Compact"/>
              <w:jc w:val="left"/>
            </w:pPr>
            <w:r>
              <w:t xml:space="preserve">Gradual; the top-tier benefit sits at about US$220m</w:t>
            </w:r>
          </w:p>
        </w:tc>
        <w:tc>
          <w:tcPr/>
          <w:p>
            <w:pPr>
              <w:pStyle w:val="Compact"/>
              <w:jc w:val="left"/>
            </w:pPr>
            <w:r>
              <w:t xml:space="preserve">A rung exists on paper from about US$0.55m of paid-up capital; coverage of sub-facility providers unverified</w:t>
            </w:r>
          </w:p>
        </w:tc>
        <w:tc>
          <w:tcPr/>
          <w:p>
            <w:pPr>
              <w:pStyle w:val="Compact"/>
              <w:jc w:val="left"/>
            </w:pPr>
            <w:r>
              <w:t xml:space="preserve">Fixed compliance cost at the lowest tier; entry tier may still presuppose a facility</w:t>
            </w:r>
          </w:p>
        </w:tc>
      </w:tr>
      <w:tr>
        <w:tc>
          <w:tcPr/>
          <w:p>
            <w:pPr>
              <w:pStyle w:val="Compact"/>
              <w:jc w:val="left"/>
            </w:pPr>
            <w:r>
              <w:t xml:space="preserve">Priority list</w:t>
            </w:r>
          </w:p>
        </w:tc>
        <w:tc>
          <w:tcPr/>
          <w:p>
            <w:pPr>
              <w:pStyle w:val="Compact"/>
              <w:jc w:val="left"/>
            </w:pPr>
            <w:r>
              <w:t xml:space="preserve">Vietnam</w:t>
            </w:r>
          </w:p>
        </w:tc>
        <w:tc>
          <w:tcPr/>
          <w:p>
            <w:pPr>
              <w:pStyle w:val="Compact"/>
              <w:jc w:val="left"/>
            </w:pPr>
            <w:r>
              <w:t xml:space="preserve">Designation of products into two tiers; no capital rule</w:t>
            </w:r>
          </w:p>
        </w:tc>
        <w:tc>
          <w:tcPr/>
          <w:p>
            <w:pPr>
              <w:pStyle w:val="Compact"/>
              <w:jc w:val="left"/>
            </w:pPr>
            <w:r>
              <w:t xml:space="preserve">At hardware manufacture (lower tier); discretionary designation elsewhere</w:t>
            </w:r>
          </w:p>
        </w:tc>
        <w:tc>
          <w:tcPr/>
          <w:p>
            <w:pPr>
              <w:pStyle w:val="Compact"/>
              <w:jc w:val="left"/>
            </w:pPr>
            <w:r>
              <w:t xml:space="preserve">No capital barrier; access depends on designation and on instruments not yet coded</w:t>
            </w:r>
          </w:p>
        </w:tc>
        <w:tc>
          <w:tcPr/>
          <w:p>
            <w:pPr>
              <w:pStyle w:val="Compact"/>
              <w:jc w:val="left"/>
            </w:pPr>
            <w:r>
              <w:t xml:space="preserve">Discretion and opacity</w:t>
            </w:r>
          </w:p>
        </w:tc>
      </w:tr>
      <w:tr>
        <w:tc>
          <w:tcPr/>
          <w:p>
            <w:pPr>
              <w:pStyle w:val="Compact"/>
              <w:jc w:val="left"/>
            </w:pPr>
            <w:r>
              <w:t xml:space="preserve">Uniform scale tiers</w:t>
            </w:r>
          </w:p>
        </w:tc>
        <w:tc>
          <w:tcPr/>
          <w:p>
            <w:pPr>
              <w:pStyle w:val="Compact"/>
              <w:jc w:val="left"/>
            </w:pPr>
            <w:r>
              <w:t xml:space="preserve">Philippines</w:t>
            </w:r>
          </w:p>
        </w:tc>
        <w:tc>
          <w:tcPr/>
          <w:p>
            <w:pPr>
              <w:pStyle w:val="Compact"/>
              <w:jc w:val="left"/>
            </w:pPr>
            <w:r>
              <w:t xml:space="preserve">Firm-scale tiers (PHP 15bn) for all activities; presidential discretion above</w:t>
            </w:r>
          </w:p>
        </w:tc>
        <w:tc>
          <w:tcPr/>
          <w:p>
            <w:pPr>
              <w:pStyle w:val="Compact"/>
              <w:jc w:val="left"/>
            </w:pPr>
            <w:r>
              <w:t xml:space="preserve">Firm scale, not layer</w:t>
            </w:r>
          </w:p>
        </w:tc>
        <w:tc>
          <w:tcPr/>
          <w:p>
            <w:pPr>
              <w:pStyle w:val="Compact"/>
              <w:jc w:val="left"/>
            </w:pPr>
            <w:r>
              <w:t xml:space="preserve">The same rules govern software and data centres; AI-blind</w:t>
            </w:r>
          </w:p>
        </w:tc>
        <w:tc>
          <w:tcPr/>
          <w:p>
            <w:pPr>
              <w:pStyle w:val="Compact"/>
              <w:jc w:val="left"/>
            </w:pPr>
            <w:r>
              <w:t xml:space="preserve">Scale tiers set without reference to the technology</w:t>
            </w:r>
          </w:p>
        </w:tc>
      </w:tr>
    </w:tbl>
    <w:p>
      <w:pPr>
        <w:pStyle w:val="BodyText"/>
      </w:pPr>
      <w:r>
        <w:rPr>
          <w:iCs/>
          <w:i/>
        </w:rPr>
        <w:t xml:space="preserve">Note.</w:t>
      </w:r>
      <w:r>
        <w:t xml:space="preserve"> </w:t>
      </w:r>
      <w:r>
        <w:t xml:space="preserve">Malaysia’s paid-up capital and the other countries’ capital thresholds are different bases (see the note to Figure 1).</w:t>
      </w:r>
    </w:p>
    <w:p>
      <w:pPr>
        <w:pStyle w:val="CaptionedFigure"/>
      </w:pPr>
      <w:r>
        <w:drawing>
          <wp:inline>
            <wp:extent cx="5334000" cy="3531972"/>
            <wp:effectExtent b="0" l="0" r="0" t="0"/>
            <wp:docPr descr="Figure 1. Explicit eligibility thresholds against cost benchmarks, US$ million, log scale. Shaded bands show the capital needed to host the stated capacity, from construction cost alone (US$10.7m per MW; Turner and Townsend, 2025) to fully equipped AI capacity (US$38m per MW; Epoch AI, 2026); the node band assumes 12 kW per eight-accelerator server (CITATION NEEDED). Thresholds are on different bases: Thailand’s software figure is annual salary spend (hollow marker), Thailand’s and the Philippines’ figures are minimum capital or firm scale, Malaysia’s entry tiers are paid-up capital (*) and its top tier is cumulative capex. The bands are therefore benchmarks, not like-for-like tests. Vietnam states no capital threshold." title="" id="38" name="Picture"/>
            <a:graphic>
              <a:graphicData uri="http://schemas.openxmlformats.org/drawingml/2006/picture">
                <pic:pic>
                  <pic:nvPicPr>
                    <pic:cNvPr descr="fig1_threshold_ladder.png" id="39" name="Picture"/>
                    <pic:cNvPicPr>
                      <a:picLocks noChangeArrowheads="1" noChangeAspect="1"/>
                    </pic:cNvPicPr>
                  </pic:nvPicPr>
                  <pic:blipFill>
                    <a:blip r:embed="rId37"/>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needed to host the stated capacity, from construction cost alone (US$10.7m per MW; Turner and Townsend, 2025) to fully equipped AI capacity (US$38m per MW; Epoch AI, 2026); the node band assumes 12 kW per eight-accelerator server (CITATION NEEDED). Thresholds are on different bases: Thailand’s software figure is annual salary spend (hollow marker), Thailand’s and the Philippines’ figures are minimum capital or firm scale, Malaysia’s entry tiers are paid-up capital (*) and its top tier is cumulative capex. The bands are therefore benchmarks, not like-for-like tests. Vietnam states no capital threshold.</w:t>
      </w:r>
    </w:p>
    <w:p>
      <w:pPr>
        <w:pStyle w:val="BodyText"/>
      </w:pPr>
      <w:r>
        <w:t xml:space="preserve">Three readings follow from Figure 1. In Thailand a single step separates software from data hosting, and nothing sits on the scale between them. In Malaysia a rung lies at about the cost of hosting one fully equipped server, and the ladder rises from there to the facility scale. Vietnam and the Philippines do not use capital thresholds by layer, so their barriers must be sought in designation and discretion, not in capital.</w:t>
      </w:r>
    </w:p>
    <w:p>
      <w:pPr>
        <w:pStyle w:val="BodyText"/>
      </w:pPr>
      <w:r>
        <w:t xml:space="preserve">The regularity across the countries is narrower than a bifurcation claim, and better supported: in Thailand, Vietnam and the Philippines we found no AI-related instrument for compute provision below facility scale. Incentives exist for building data centres and, in Vietnam and the Philippines, for providing cloud services. None is aimed at the intermediate forms through which smaller firms obtain or supply compute, such as colocation tenancy, modular or edge deployment, or resale of leased capacity. Malaysia is the one country where a graduated structure exists, and</w:t>
      </w:r>
      <w:r>
        <w:t xml:space="preserve"> </w:t>
      </w:r>
      <w:r>
        <w:rPr>
          <w:bCs/>
          <w:b/>
        </w:rPr>
        <w:t xml:space="preserve">[VERIFY: whether DESAC’s entry tier requires a minimum facility size, a minimum qualifying capex or capacity, or can be used by a firm that leases space and equipment]</w:t>
      </w:r>
      <w:r>
        <w:t xml:space="preserve"> </w:t>
      </w:r>
      <w:r>
        <w:t xml:space="preserve">determines whether it closes the gap. Section 5.1 assesses what explains the gap.</w:t>
      </w:r>
    </w:p>
    <w:bookmarkEnd w:id="40"/>
    <w:bookmarkEnd w:id="41"/>
    <w:bookmarkStart w:id="46" w:name="discussion"/>
    <w:p>
      <w:pPr>
        <w:pStyle w:val="Heading2"/>
      </w:pPr>
      <w:r>
        <w:t xml:space="preserve">5. Discussion</w:t>
      </w:r>
    </w:p>
    <w:bookmarkStart w:id="42" w:name="cost-necessity-versus-incentive-design"/>
    <w:p>
      <w:pPr>
        <w:pStyle w:val="Heading3"/>
      </w:pPr>
      <w:r>
        <w:t xml:space="preserve">5.1 Cost necessity versus incentive design</w:t>
      </w:r>
    </w:p>
    <w:p>
      <w:pPr>
        <w:pStyle w:val="FirstParagraph"/>
      </w:pPr>
      <w:r>
        <w:t xml:space="preserve">The most serious challenge to a design reading is H1: high thresholds at the infrastructure layer reflect the real cost of building data centres. Published benchmarks let us assess this. Global average data-centre construction cost reached about US$10.7 million per megawatt in 2025, up from US$6 to 8 million before 2022 (Turner and Townsend, 2025). Estimates that include servers and networking for AI facilities imply far more, about US$38 billion for a one-gigawatt facility (Epoch AI, 2026). On the first figure Thailand’s US$140 million threshold corresponds to about 13 megawatts of construction, and on the second to under four megawatts of fully equipped AI capacity. Either way it falls below the 40-megawatt scale commonly used to define hyperscale facilities</w:t>
      </w:r>
      <w:r>
        <w:t xml:space="preserve"> </w:t>
      </w:r>
      <w:r>
        <w:rPr>
          <w:bCs/>
          <w:b/>
        </w:rPr>
        <w:t xml:space="preserve">[CITATION NEEDED: source for the 40 MW hyperscale definition]</w:t>
      </w:r>
      <w:r>
        <w:t xml:space="preserve">.</w:t>
      </w:r>
    </w:p>
    <w:p>
      <w:pPr>
        <w:pStyle w:val="BodyText"/>
      </w:pPr>
      <w:r>
        <w:t xml:space="preserve">We therefore concede that the threshold is not set at an arbitrary or unattainable level relative to construction cost. H1 accounts for the height of the infrastructure threshold (prediction P1a), and the software-to-infrastructure gap should not be read as evidence of bias.</w:t>
      </w:r>
    </w:p>
    <w:p>
      <w:pPr>
        <w:pStyle w:val="BodyText"/>
      </w:pPr>
      <w:r>
        <w:t xml:space="preserve">What H1 does not account for is the absence of intermediate instruments (P1b). The prediction holds only if no smaller viable scale of provision exists. That auxiliary assumption can be checked, and it appears not to hold. A single eight-accelerator server draws roughly twelve kilowatts</w:t>
      </w:r>
      <w:r>
        <w:t xml:space="preserve"> </w:t>
      </w:r>
      <w:r>
        <w:rPr>
          <w:bCs/>
          <w:b/>
        </w:rPr>
        <w:t xml:space="preserve">[CITATION NEEDED: manufacturer specification]</w:t>
      </w:r>
      <w:r>
        <w:t xml:space="preserve">, and commercial colocation providers accept deployments in the five-to-twenty-kilowatt range without megawatt minimums</w:t>
      </w:r>
      <w:r>
        <w:t xml:space="preserve"> </w:t>
      </w:r>
      <w:r>
        <w:rPr>
          <w:bCs/>
          <w:b/>
        </w:rPr>
        <w:t xml:space="preserve">[CITATION NEEDED: provider terms or industry source]</w:t>
      </w:r>
      <w:r>
        <w:t xml:space="preserve">. Firms can and do provide AI compute at this scale. A cost account predicts a high threshold for facility construction. It does not predict the absence of any instrument for compute provision two to three orders of magnitude below facility scale (a facility of tens of megawatts against a rack of ten to twenty kilowatts), while instruments exist for software development at the scale of a small team. Both H2 and H3 predict this absence, with different origins. For Thailand, Vietnam and the Philippines the absence is a design outcome and not a cost constraint, subject to two checks in Section 3.3 that are still pending: the search protocol and the coding of general-purpose instruments.</w:t>
      </w:r>
    </w:p>
    <w:p>
      <w:pPr>
        <w:pStyle w:val="BodyText"/>
      </w:pPr>
      <w:r>
        <w:t xml:space="preserve">Malaysia is the informative case. Its entry tier asks for RM2.5 million of paid-up capital, about US$550,000, which is of the same order as the capital needed to host one fully equipped server on the benchmark of Figure 1 (about US$0.5 million) and well below the capital needed to build a megawatt of capacity (about US$11 million). If a firm that leases space and equipment, or runs a colocation-scale deployment, can qualify, Malaysia shows that a graduated design is feasible, and the cost account cannot explain its absence in the other three. If the tier presupposes a facility, Malaysia joins the other three and the gap is general. The two outcomes carry different lessons, which is why the coverage of this tier is the most consequential open check in the paper. Paid-up capital is not the same as the capital expenditure on a facility, so this comparison indicates feasibility only.</w:t>
      </w:r>
    </w:p>
    <w:bookmarkEnd w:id="42"/>
    <w:bookmarkStart w:id="43" w:name="Xe429b4f7ef8fb24865192b28fb189dc3a50c53d"/>
    <w:p>
      <w:pPr>
        <w:pStyle w:val="Heading3"/>
      </w:pPr>
      <w:r>
        <w:t xml:space="preserve">5.2 Ownership: what the data can and cannot show</w:t>
      </w:r>
    </w:p>
    <w:p>
      <w:pPr>
        <w:pStyle w:val="FirstParagraph"/>
      </w:pPr>
      <w:r>
        <w:t xml:space="preserve">Foreign capital is a larger share of registered capital in Thailand’s infrastructure layers than in its software layer. This is an observation about capital structure. It does not show that Thai firms were excluded, nor that Thailand failed to accumulate technological capability. A cost-based account predicts it, since the layers with the largest capital requirements attract the firms with the deepest capital, which for data centres are global operators (Lehdonvirta et al., 2025). Ke (2024) describes the trap in the ASEAN Four as one in which multinationals retain core capability at home, and the gradient is consistent with that account, but it cannot distinguish it from capital-intensity effects.</w:t>
      </w:r>
    </w:p>
    <w:p>
      <w:pPr>
        <w:pStyle w:val="BodyText"/>
      </w:pPr>
      <w:r>
        <w:t xml:space="preserve">Vietnam’s confirmed infrastructure investment is domestic and concentrated in its largest conglomerate. This also does not show that domestic incumbents have captured the market or the incentive system. That conclusion would need further evidence of the kind Doner and Schneider (2016) discuss: restrictions on competitor entry, discriminatory distribution of support, or constraints on technology transfer and learning. In our data the incentive rules do not exclude other firms from the compute layer (Section 4.2), so the rules do not show capture.</w:t>
      </w:r>
    </w:p>
    <w:p>
      <w:pPr>
        <w:pStyle w:val="BodyText"/>
      </w:pPr>
      <w:r>
        <w:t xml:space="preserve">The two country patterns are different phenomena and imply different questions. In Thailand the question is whether technology-transfer or local-content conditions on foreign investment would change the learning domestic firms gain. In Vietnam it is whether competition or access conditions for smaller firms matter in a market that a single conglomerate leads. Whether Thailand’s ownership gradient holds elsewhere requires approval data these governments do not publish in comparable form.</w:t>
      </w:r>
    </w:p>
    <w:bookmarkEnd w:id="43"/>
    <w:bookmarkStart w:id="44" w:name="what-the-evidence-supports"/>
    <w:p>
      <w:pPr>
        <w:pStyle w:val="Heading3"/>
      </w:pPr>
      <w:r>
        <w:t xml:space="preserve">5.3 What the evidence supports</w:t>
      </w:r>
    </w:p>
    <w:p>
      <w:pPr>
        <w:pStyle w:val="FirstParagraph"/>
      </w:pPr>
      <w:r>
        <w:t xml:space="preserve">Table 4 applies the rubric of Table 2 to each item of evidence.</w:t>
      </w:r>
    </w:p>
    <w:p>
      <w:pPr>
        <w:pStyle w:val="BodyText"/>
      </w:pPr>
      <w:r>
        <w:rPr>
          <w:bCs/>
          <w:b/>
        </w:rPr>
        <w:t xml:space="preserve">Table 4. Evidence matrix: how each explanation fares, with the evidence that would change the rating</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Evidence</w:t>
            </w:r>
          </w:p>
        </w:tc>
        <w:tc>
          <w:tcPr/>
          <w:p>
            <w:pPr>
              <w:pStyle w:val="Compact"/>
              <w:jc w:val="left"/>
            </w:pPr>
            <w:r>
              <w:t xml:space="preserve">H1 cost</w:t>
            </w:r>
          </w:p>
        </w:tc>
        <w:tc>
          <w:tcPr/>
          <w:p>
            <w:pPr>
              <w:pStyle w:val="Compact"/>
              <w:jc w:val="left"/>
            </w:pPr>
            <w:r>
              <w:t xml:space="preserve">H2 design</w:t>
            </w:r>
          </w:p>
        </w:tc>
        <w:tc>
          <w:tcPr/>
          <w:p>
            <w:pPr>
              <w:pStyle w:val="Compact"/>
              <w:jc w:val="left"/>
            </w:pPr>
            <w:r>
              <w:t xml:space="preserve">H3 habit</w:t>
            </w:r>
          </w:p>
        </w:tc>
        <w:tc>
          <w:tcPr/>
          <w:p>
            <w:pPr>
              <w:pStyle w:val="Compact"/>
              <w:jc w:val="left"/>
            </w:pPr>
            <w:r>
              <w:t xml:space="preserve">Weight</w:t>
            </w:r>
          </w:p>
        </w:tc>
        <w:tc>
          <w:tcPr/>
          <w:p>
            <w:pPr>
              <w:pStyle w:val="Compact"/>
              <w:jc w:val="left"/>
            </w:pPr>
            <w:r>
              <w:t xml:space="preserve">What would change the rating</w:t>
            </w:r>
          </w:p>
        </w:tc>
      </w:tr>
      <w:tr>
        <w:tc>
          <w:tcPr/>
          <w:p>
            <w:pPr>
              <w:pStyle w:val="Compact"/>
              <w:jc w:val="left"/>
            </w:pPr>
            <w:r>
              <w:t xml:space="preserve">E1</w:t>
            </w:r>
          </w:p>
        </w:tc>
        <w:tc>
          <w:tcPr/>
          <w:p>
            <w:pPr>
              <w:pStyle w:val="Compact"/>
              <w:jc w:val="left"/>
            </w:pPr>
            <w:r>
              <w:t xml:space="preserve">Threshold gap between software and physical infrastructure (Thailand, Malaysia)</w:t>
            </w:r>
          </w:p>
        </w:tc>
        <w:tc>
          <w:tcPr/>
          <w:p>
            <w:pPr>
              <w:pStyle w:val="Compact"/>
              <w:jc w:val="left"/>
            </w:pPr>
            <w:r>
              <w:t xml:space="preserve">E</w:t>
            </w:r>
          </w:p>
        </w:tc>
        <w:tc>
          <w:tcPr/>
          <w:p>
            <w:pPr>
              <w:pStyle w:val="Compact"/>
              <w:jc w:val="left"/>
            </w:pPr>
            <w:r>
              <w:t xml:space="preserve">C</w:t>
            </w:r>
          </w:p>
        </w:tc>
        <w:tc>
          <w:tcPr/>
          <w:p>
            <w:pPr>
              <w:pStyle w:val="Compact"/>
              <w:jc w:val="left"/>
            </w:pPr>
            <w:r>
              <w:t xml:space="preserve">C</w:t>
            </w:r>
          </w:p>
        </w:tc>
        <w:tc>
          <w:tcPr/>
          <w:p>
            <w:pPr>
              <w:pStyle w:val="Compact"/>
              <w:jc w:val="left"/>
            </w:pPr>
            <w:r>
              <w:t xml:space="preserve">Weak: all three compatible</w:t>
            </w:r>
          </w:p>
        </w:tc>
        <w:tc>
          <w:tcPr/>
          <w:p>
            <w:pPr>
              <w:pStyle w:val="Compact"/>
              <w:jc w:val="left"/>
            </w:pPr>
            <w:r>
              <w:t xml:space="preserve">Not diagnostic whatever the verification result</w:t>
            </w:r>
          </w:p>
        </w:tc>
      </w:tr>
      <w:tr>
        <w:tc>
          <w:tcPr/>
          <w:p>
            <w:pPr>
              <w:pStyle w:val="Compact"/>
              <w:jc w:val="left"/>
            </w:pPr>
            <w:r>
              <w:t xml:space="preserve">E2</w:t>
            </w:r>
          </w:p>
        </w:tc>
        <w:tc>
          <w:tcPr/>
          <w:p>
            <w:pPr>
              <w:pStyle w:val="Compact"/>
              <w:jc w:val="left"/>
            </w:pPr>
            <w:r>
              <w:t xml:space="preserve">No AI-related instrument for compute provision below facility scale (Thailand, Vietnam, Philippines; Malaysia’s DESAC entry tier unresolved; provisional, pending search protocol and general-instrument coding)</w:t>
            </w:r>
          </w:p>
        </w:tc>
        <w:tc>
          <w:tcPr/>
          <w:p>
            <w:pPr>
              <w:pStyle w:val="Compact"/>
              <w:jc w:val="left"/>
            </w:pPr>
            <w:r>
              <w:t xml:space="preserve">U (needs the auxiliary assumption of no viable small scale; see 5.1)</w:t>
            </w:r>
          </w:p>
        </w:tc>
        <w:tc>
          <w:tcPr/>
          <w:p>
            <w:pPr>
              <w:pStyle w:val="Compact"/>
              <w:jc w:val="left"/>
            </w:pPr>
            <w:r>
              <w:t xml:space="preserve">E</w:t>
            </w:r>
          </w:p>
        </w:tc>
        <w:tc>
          <w:tcPr/>
          <w:p>
            <w:pPr>
              <w:pStyle w:val="Compact"/>
              <w:jc w:val="left"/>
            </w:pPr>
            <w:r>
              <w:t xml:space="preserve">C</w:t>
            </w:r>
          </w:p>
        </w:tc>
        <w:tc>
          <w:tcPr/>
          <w:p>
            <w:pPr>
              <w:pStyle w:val="Compact"/>
              <w:jc w:val="left"/>
            </w:pPr>
            <w:r>
              <w:t xml:space="preserve">Moderate: depends on an auxiliary assumption and on pending checks</w:t>
            </w:r>
          </w:p>
        </w:tc>
        <w:tc>
          <w:tcPr/>
          <w:p>
            <w:pPr>
              <w:pStyle w:val="Compact"/>
              <w:jc w:val="left"/>
            </w:pPr>
            <w:r>
              <w:t xml:space="preserve">An applicable general or AI-specific instrument for colocation, resale or modular compute would move H2 to C. Evidence that DESAC’s entry tier covers sub-facility providers would show that a graduated design is feasible and would strengthen the case against H1 elsewhere. Evidence that sub-facility provision is not viable would move H1 to E</w:t>
            </w:r>
          </w:p>
        </w:tc>
      </w:tr>
      <w:tr>
        <w:tc>
          <w:tcPr/>
          <w:p>
            <w:pPr>
              <w:pStyle w:val="Compact"/>
              <w:jc w:val="left"/>
            </w:pPr>
            <w:r>
              <w:t xml:space="preserve">E3</w:t>
            </w:r>
          </w:p>
        </w:tc>
        <w:tc>
          <w:tcPr/>
          <w:p>
            <w:pPr>
              <w:pStyle w:val="Compact"/>
              <w:jc w:val="left"/>
            </w:pPr>
            <w:r>
              <w:t xml:space="preserve">Most generous research tier requires investment against an existing revenue base (Thailand)</w:t>
            </w:r>
          </w:p>
        </w:tc>
        <w:tc>
          <w:tcPr/>
          <w:p>
            <w:pPr>
              <w:pStyle w:val="Compact"/>
              <w:jc w:val="left"/>
            </w:pPr>
            <w:r>
              <w:t xml:space="preserve">U (applies to software, where cost rationale does not hold)</w:t>
            </w:r>
          </w:p>
        </w:tc>
        <w:tc>
          <w:tcPr/>
          <w:p>
            <w:pPr>
              <w:pStyle w:val="Compact"/>
              <w:jc w:val="left"/>
            </w:pPr>
            <w:r>
              <w:t xml:space="preserve">E</w:t>
            </w:r>
          </w:p>
        </w:tc>
        <w:tc>
          <w:tcPr/>
          <w:p>
            <w:pPr>
              <w:pStyle w:val="Compact"/>
              <w:jc w:val="left"/>
            </w:pPr>
            <w:r>
              <w:t xml:space="preserve">C (if the mechanism is cross-sectoral)</w:t>
            </w:r>
          </w:p>
        </w:tc>
        <w:tc>
          <w:tcPr/>
          <w:p>
            <w:pPr>
              <w:pStyle w:val="Compact"/>
              <w:jc w:val="left"/>
            </w:pPr>
            <w:r>
              <w:t xml:space="preserve">Moderate: depends on whether the mechanism is cross-sectoral</w:t>
            </w:r>
          </w:p>
        </w:tc>
        <w:tc>
          <w:tcPr/>
          <w:p>
            <w:pPr>
              <w:pStyle w:val="Compact"/>
              <w:jc w:val="left"/>
            </w:pPr>
            <w:r>
              <w:t xml:space="preserve">If the mechanism is a generic BOI tool, H3 becomes E and the rating falls to Weak between H2 and H3</w:t>
            </w:r>
          </w:p>
        </w:tc>
      </w:tr>
      <w:tr>
        <w:tc>
          <w:tcPr/>
          <w:p>
            <w:pPr>
              <w:pStyle w:val="Compact"/>
              <w:jc w:val="left"/>
            </w:pPr>
            <w:r>
              <w:t xml:space="preserve">E4</w:t>
            </w:r>
          </w:p>
        </w:tc>
        <w:tc>
          <w:tcPr/>
          <w:p>
            <w:pPr>
              <w:pStyle w:val="Compact"/>
              <w:jc w:val="left"/>
            </w:pPr>
            <w:r>
              <w:t xml:space="preserve">Auditor-verified annual declaration at the lowest capital tier (Malaysia)</w:t>
            </w:r>
          </w:p>
        </w:tc>
        <w:tc>
          <w:tcPr/>
          <w:p>
            <w:pPr>
              <w:pStyle w:val="Compact"/>
              <w:jc w:val="left"/>
            </w:pPr>
            <w:r>
              <w:t xml:space="preserve">U (fixed cost is not required by the technology)</w:t>
            </w:r>
          </w:p>
        </w:tc>
        <w:tc>
          <w:tcPr/>
          <w:p>
            <w:pPr>
              <w:pStyle w:val="Compact"/>
              <w:jc w:val="left"/>
            </w:pPr>
            <w:r>
              <w:t xml:space="preserve">E</w:t>
            </w:r>
          </w:p>
        </w:tc>
        <w:tc>
          <w:tcPr/>
          <w:p>
            <w:pPr>
              <w:pStyle w:val="Compact"/>
              <w:jc w:val="left"/>
            </w:pPr>
            <w:r>
              <w:t xml:space="preserve">E (generic compliance practice)</w:t>
            </w:r>
          </w:p>
        </w:tc>
        <w:tc>
          <w:tcPr/>
          <w:p>
            <w:pPr>
              <w:pStyle w:val="Compact"/>
              <w:jc w:val="left"/>
            </w:pPr>
            <w:r>
              <w:t xml:space="preserve">Moderate against H1 only; does not separate H2 from H3</w:t>
            </w:r>
          </w:p>
        </w:tc>
        <w:tc>
          <w:tcPr/>
          <w:p>
            <w:pPr>
              <w:pStyle w:val="Compact"/>
              <w:jc w:val="left"/>
            </w:pPr>
            <w:r>
              <w:t xml:space="preserve">Verification of the source text</w:t>
            </w:r>
          </w:p>
        </w:tc>
      </w:tr>
      <w:tr>
        <w:tc>
          <w:tcPr/>
          <w:p>
            <w:pPr>
              <w:pStyle w:val="Compact"/>
              <w:jc w:val="left"/>
            </w:pPr>
            <w:r>
              <w:t xml:space="preserve">E5</w:t>
            </w:r>
          </w:p>
        </w:tc>
        <w:tc>
          <w:tcPr/>
          <w:p>
            <w:pPr>
              <w:pStyle w:val="Compact"/>
              <w:jc w:val="left"/>
            </w:pPr>
            <w:r>
              <w:t xml:space="preserve">Official criticism of data-centre incentives on employment grounds, then restructuring (Malaysia)</w:t>
            </w:r>
          </w:p>
        </w:tc>
        <w:tc>
          <w:tcPr/>
          <w:p>
            <w:pPr>
              <w:pStyle w:val="Compact"/>
              <w:jc w:val="left"/>
            </w:pPr>
            <w:r>
              <w:t xml:space="preserve">E (capital-intensive projects yield little employment per unit of capital)</w:t>
            </w:r>
          </w:p>
        </w:tc>
        <w:tc>
          <w:tcPr/>
          <w:p>
            <w:pPr>
              <w:pStyle w:val="Compact"/>
              <w:jc w:val="left"/>
            </w:pPr>
            <w:r>
              <w:t xml:space="preserve">C</w:t>
            </w:r>
          </w:p>
        </w:tc>
        <w:tc>
          <w:tcPr/>
          <w:p>
            <w:pPr>
              <w:pStyle w:val="Compact"/>
              <w:jc w:val="left"/>
            </w:pPr>
            <w:r>
              <w:t xml:space="preserve">C</w:t>
            </w:r>
          </w:p>
        </w:tc>
        <w:tc>
          <w:tcPr/>
          <w:p>
            <w:pPr>
              <w:pStyle w:val="Compact"/>
              <w:jc w:val="left"/>
            </w:pPr>
            <w:r>
              <w:t xml:space="preserve">Weak: shows that a problem was recognised, not its cause</w:t>
            </w:r>
          </w:p>
        </w:tc>
        <w:tc>
          <w:tcPr/>
          <w:p>
            <w:pPr>
              <w:pStyle w:val="Compact"/>
              <w:jc w:val="left"/>
            </w:pPr>
            <w:r>
              <w:t xml:space="preserve">Evidence that the criticism cited firm size or entry barriers</w:t>
            </w:r>
          </w:p>
        </w:tc>
      </w:tr>
      <w:tr>
        <w:tc>
          <w:tcPr/>
          <w:p>
            <w:pPr>
              <w:pStyle w:val="Compact"/>
              <w:jc w:val="left"/>
            </w:pPr>
            <w:r>
              <w:t xml:space="preserve">E6</w:t>
            </w:r>
          </w:p>
        </w:tc>
        <w:tc>
          <w:tcPr/>
          <w:p>
            <w:pPr>
              <w:pStyle w:val="Compact"/>
              <w:jc w:val="left"/>
            </w:pPr>
            <w:r>
              <w:t xml:space="preserve">Explicit startup track with direct equity access (Vietnam)</w:t>
            </w:r>
          </w:p>
        </w:tc>
        <w:tc>
          <w:tcPr/>
          <w:p>
            <w:pPr>
              <w:pStyle w:val="Compact"/>
              <w:jc w:val="left"/>
            </w:pPr>
            <w:r>
              <w:t xml:space="preserve">C</w:t>
            </w:r>
          </w:p>
        </w:tc>
        <w:tc>
          <w:tcPr/>
          <w:p>
            <w:pPr>
              <w:pStyle w:val="Compact"/>
              <w:jc w:val="left"/>
            </w:pPr>
            <w:r>
              <w:t xml:space="preserve">U</w:t>
            </w:r>
          </w:p>
        </w:tc>
        <w:tc>
          <w:tcPr/>
          <w:p>
            <w:pPr>
              <w:pStyle w:val="Compact"/>
              <w:jc w:val="left"/>
            </w:pPr>
            <w:r>
              <w:t xml:space="preserve">C</w:t>
            </w:r>
          </w:p>
        </w:tc>
        <w:tc>
          <w:tcPr/>
          <w:p>
            <w:pPr>
              <w:pStyle w:val="Compact"/>
              <w:jc w:val="left"/>
            </w:pPr>
            <w:r>
              <w:t xml:space="preserve">Moderate against H2 at the application layer in Vietnam; limited to eligibility, not realised access</w:t>
            </w:r>
          </w:p>
        </w:tc>
        <w:tc>
          <w:tcPr/>
          <w:p>
            <w:pPr>
              <w:pStyle w:val="Compact"/>
              <w:jc w:val="left"/>
            </w:pPr>
            <w:r>
              <w:t xml:space="preserve">Evidence on how many startups use the track</w:t>
            </w:r>
          </w:p>
        </w:tc>
      </w:tr>
      <w:tr>
        <w:tc>
          <w:tcPr/>
          <w:p>
            <w:pPr>
              <w:pStyle w:val="Compact"/>
              <w:jc w:val="left"/>
            </w:pPr>
            <w:r>
              <w:t xml:space="preserve">E7</w:t>
            </w:r>
          </w:p>
        </w:tc>
        <w:tc>
          <w:tcPr/>
          <w:p>
            <w:pPr>
              <w:pStyle w:val="Compact"/>
              <w:jc w:val="left"/>
            </w:pPr>
            <w:r>
              <w:t xml:space="preserve">Cloud platforms in the top priority tier alongside AI applications (Vietnam)</w:t>
            </w:r>
          </w:p>
        </w:tc>
        <w:tc>
          <w:tcPr/>
          <w:p>
            <w:pPr>
              <w:pStyle w:val="Compact"/>
              <w:jc w:val="left"/>
            </w:pPr>
            <w:r>
              <w:t xml:space="preserve">C</w:t>
            </w:r>
          </w:p>
        </w:tc>
        <w:tc>
          <w:tcPr/>
          <w:p>
            <w:pPr>
              <w:pStyle w:val="Compact"/>
              <w:jc w:val="left"/>
            </w:pPr>
            <w:r>
              <w:t xml:space="preserve">U at the compute layer</w:t>
            </w:r>
          </w:p>
        </w:tc>
        <w:tc>
          <w:tcPr/>
          <w:p>
            <w:pPr>
              <w:pStyle w:val="Compact"/>
              <w:jc w:val="left"/>
            </w:pPr>
            <w:r>
              <w:t xml:space="preserve">C</w:t>
            </w:r>
          </w:p>
        </w:tc>
        <w:tc>
          <w:tcPr/>
          <w:p>
            <w:pPr>
              <w:pStyle w:val="Compact"/>
              <w:jc w:val="left"/>
            </w:pPr>
            <w:r>
              <w:t xml:space="preserve">Weak to moderate: rests on one line item after recoding of edge cameras and digital twins</w:t>
            </w:r>
          </w:p>
        </w:tc>
        <w:tc>
          <w:tcPr/>
          <w:p>
            <w:pPr>
              <w:pStyle w:val="Compact"/>
              <w:jc w:val="left"/>
            </w:pPr>
            <w:r>
              <w:t xml:space="preserve">Recoding of Table S1 row 12; text of Decision 21/2026</w:t>
            </w:r>
          </w:p>
        </w:tc>
      </w:tr>
      <w:tr>
        <w:tc>
          <w:tcPr/>
          <w:p>
            <w:pPr>
              <w:pStyle w:val="Compact"/>
              <w:jc w:val="left"/>
            </w:pPr>
            <w:r>
              <w:t xml:space="preserve">E8</w:t>
            </w:r>
          </w:p>
        </w:tc>
        <w:tc>
          <w:tcPr/>
          <w:p>
            <w:pPr>
              <w:pStyle w:val="Compact"/>
              <w:jc w:val="left"/>
            </w:pPr>
            <w:r>
              <w:t xml:space="preserve">Firm-scale tiers applied uniformly across activity types (Philippines)</w:t>
            </w:r>
          </w:p>
        </w:tc>
        <w:tc>
          <w:tcPr/>
          <w:p>
            <w:pPr>
              <w:pStyle w:val="Compact"/>
              <w:jc w:val="left"/>
            </w:pPr>
            <w:r>
              <w:t xml:space="preserve">U (capital need differs by layer, the tiers do not)</w:t>
            </w:r>
          </w:p>
        </w:tc>
        <w:tc>
          <w:tcPr/>
          <w:p>
            <w:pPr>
              <w:pStyle w:val="Compact"/>
              <w:jc w:val="left"/>
            </w:pPr>
            <w:r>
              <w:t xml:space="preserve">C</w:t>
            </w:r>
          </w:p>
        </w:tc>
        <w:tc>
          <w:tcPr/>
          <w:p>
            <w:pPr>
              <w:pStyle w:val="Compact"/>
              <w:jc w:val="left"/>
            </w:pPr>
            <w:r>
              <w:t xml:space="preserve">E</w:t>
            </w:r>
          </w:p>
        </w:tc>
        <w:tc>
          <w:tcPr/>
          <w:p>
            <w:pPr>
              <w:pStyle w:val="Compact"/>
              <w:jc w:val="left"/>
            </w:pPr>
            <w:r>
              <w:t xml:space="preserve">Moderate for H3 over H1; does not separate H2 from H3</w:t>
            </w:r>
          </w:p>
        </w:tc>
        <w:tc>
          <w:tcPr/>
          <w:p>
            <w:pPr>
              <w:pStyle w:val="Compact"/>
              <w:jc w:val="left"/>
            </w:pPr>
            <w:r>
              <w:t xml:space="preserve">Pre-AI instruments showing the same tiers</w:t>
            </w:r>
          </w:p>
        </w:tc>
      </w:tr>
      <w:tr>
        <w:tc>
          <w:tcPr/>
          <w:p>
            <w:pPr>
              <w:pStyle w:val="Compact"/>
              <w:jc w:val="left"/>
            </w:pPr>
            <w:r>
              <w:t xml:space="preserve">E9</w:t>
            </w:r>
          </w:p>
        </w:tc>
        <w:tc>
          <w:tcPr/>
          <w:p>
            <w:pPr>
              <w:pStyle w:val="Compact"/>
              <w:jc w:val="left"/>
            </w:pPr>
            <w:r>
              <w:t xml:space="preserve">Thai-held share of capital falls with depth into the stack (46, 15, 0 per cent; Thailand)</w:t>
            </w:r>
          </w:p>
        </w:tc>
        <w:tc>
          <w:tcPr/>
          <w:p>
            <w:pPr>
              <w:pStyle w:val="Compact"/>
              <w:jc w:val="left"/>
            </w:pPr>
            <w:r>
              <w:t xml:space="preserve">E (capital-intensive layers attract deep capital)</w:t>
            </w:r>
          </w:p>
        </w:tc>
        <w:tc>
          <w:tcPr/>
          <w:p>
            <w:pPr>
              <w:pStyle w:val="Compact"/>
              <w:jc w:val="left"/>
            </w:pPr>
            <w:r>
              <w:t xml:space="preserve">C</w:t>
            </w:r>
          </w:p>
        </w:tc>
        <w:tc>
          <w:tcPr/>
          <w:p>
            <w:pPr>
              <w:pStyle w:val="Compact"/>
              <w:jc w:val="left"/>
            </w:pPr>
            <w:r>
              <w:t xml:space="preserve">C</w:t>
            </w:r>
          </w:p>
        </w:tc>
        <w:tc>
          <w:tcPr/>
          <w:p>
            <w:pPr>
              <w:pStyle w:val="Compact"/>
              <w:jc w:val="left"/>
            </w:pPr>
            <w:r>
              <w:t xml:space="preserve">Weak: descriptive; does not discriminate</w:t>
            </w:r>
          </w:p>
        </w:tc>
        <w:tc>
          <w:tcPr/>
          <w:p>
            <w:pPr>
              <w:pStyle w:val="Compact"/>
              <w:jc w:val="left"/>
            </w:pPr>
            <w:r>
              <w:t xml:space="preserve">Project-level data and evidence on excluded domestic applicants</w:t>
            </w:r>
          </w:p>
        </w:tc>
      </w:tr>
    </w:tbl>
    <w:p>
      <w:pPr>
        <w:pStyle w:val="BodyText"/>
      </w:pPr>
      <w:r>
        <w:rPr>
          <w:iCs/>
          <w:i/>
        </w:rPr>
        <w:t xml:space="preserve">Note.</w:t>
      </w:r>
      <w:r>
        <w:t xml:space="preserve"> </w:t>
      </w:r>
      <w:r>
        <w:t xml:space="preserve">E = expected; C = compatible; U = unexpected; X = contradicted. The rubric is in Table 2. Ratings of rows that depend on unverified coding are provisional until the verification and reliability checks are complete.</w:t>
      </w:r>
    </w:p>
    <w:p>
      <w:pPr>
        <w:pStyle w:val="BodyText"/>
      </w:pPr>
      <w:r>
        <w:t xml:space="preserve">Three results follow. First, H1 (cost necessity) is well supported for the height of the infrastructure thresholds (E1) and for the ownership pattern (E9), and the data cannot distinguish a design reading from it on those points. Second, H1 is weakened by E2, E3, E4 and E8, which it can accommodate only through auxiliary assumptions. Third, H2 and H3 are difficult to separate: E2, E3 and E4 are expected under both, and only E8 favours H3 over H2 in a clear way. This paper therefore supports a claim that the pattern is</w:t>
      </w:r>
      <w:r>
        <w:t xml:space="preserve"> </w:t>
      </w:r>
      <w:r>
        <w:rPr>
          <w:iCs/>
          <w:i/>
        </w:rPr>
        <w:t xml:space="preserve">not only</w:t>
      </w:r>
      <w:r>
        <w:t xml:space="preserve"> </w:t>
      </w:r>
      <w:r>
        <w:t xml:space="preserve">cost-driven and is consistent with design or habit, but it does not isolate the origin.</w:t>
      </w:r>
    </w:p>
    <w:p>
      <w:pPr>
        <w:pStyle w:val="BodyText"/>
      </w:pPr>
      <w:r>
        <w:rPr>
          <w:bCs/>
          <w:b/>
        </w:rPr>
        <w:t xml:space="preserve">Sensitivity.</w:t>
      </w:r>
      <w:r>
        <w:t xml:space="preserve"> </w:t>
      </w:r>
      <w:r>
        <w:t xml:space="preserve">Dropping E2 leaves the case against H1 resting on E3, E4 and E8, which are individually moderate and depend on the checks listed in Table 4. Dropping E3 and E4 together, which both depend on unverified rows, leaves E2 and E8. Dropping E2 and E3 and E4 together leaves no moderate evidence against H1 beyond E8. The main conclusion therefore depends chiefly on E2, and we regard it as provisional until the search protocol and the general-instrument coding are complete. Reversing the rating of E5 does not change any conclusion, because that row is already weak.</w:t>
      </w:r>
    </w:p>
    <w:p>
      <w:pPr>
        <w:pStyle w:val="BodyText"/>
      </w:pPr>
      <w:r>
        <w:rPr>
          <w:bCs/>
          <w:b/>
        </w:rPr>
        <w:t xml:space="preserve">Falsification.</w:t>
      </w:r>
      <w:r>
        <w:t xml:space="preserve"> </w:t>
      </w:r>
      <w:r>
        <w:t xml:space="preserve">The claim that sub-facility compute is unaddressed would be falsified by finding, in any country, a general-purpose or AI-specific instrument that a colocation operator or compute reseller could use on the same terms as a software firm. The claim that H1 is insufficient would be falsified by showing that the smallest commercially viable AI compute provider is above the facility threshold in each country.</w:t>
      </w:r>
    </w:p>
    <w:p>
      <w:pPr>
        <w:pStyle w:val="BodyText"/>
      </w:pPr>
      <w:r>
        <w:rPr>
          <w:bCs/>
          <w:b/>
        </w:rPr>
        <w:t xml:space="preserve">Competing interpretation.</w:t>
      </w:r>
      <w:r>
        <w:t xml:space="preserve"> </w:t>
      </w:r>
      <w:r>
        <w:t xml:space="preserve">A reading that this paper cannot rule out is that no middle-income economy can compete with hyperscale providers at frontier scale, and that concentrating domestic effort on applications while accepting infrastructure dependence is sound specialisation. The evidence that would separate the readings is (a) whether domestic sub-facility compute providers exist, grow and serve domestic AI firms without incentives, (b) the price and availability of compute for domestic AI firms, and (c) outcomes for domestic firms in the application layer. None of this is observed here. We therefore do not claim to adjudicate between a design gap and rational specialisation.</w:t>
      </w:r>
    </w:p>
    <w:bookmarkEnd w:id="44"/>
    <w:bookmarkStart w:id="45" w:name="relation-to-the-literature"/>
    <w:p>
      <w:pPr>
        <w:pStyle w:val="Heading3"/>
      </w:pPr>
      <w:r>
        <w:t xml:space="preserve">5.4 Relation to the literature</w:t>
      </w:r>
    </w:p>
    <w:p>
      <w:pPr>
        <w:pStyle w:val="FirstParagraph"/>
      </w:pPr>
      <w:r>
        <w:t xml:space="preserve">Bahar et al. (2026) show for Japan that incentives delivered through indirect tax credits favour large profitable firms. Our evidence for the same mechanism is limited to specific rules: Thailand’s deepest research tier (E3), Malaysia’s fixed compliance cost (E4), and the fact that three of four countries deliver the accessible tier by indirect instruments (Table 3). The comparison with Japan and the European Union should be drawn carefully. Their problem is misallocation among sectors for established firms, whereas ours is entry to a new technology stack, and the evidence for it is rules, not spending shares. The lesson we draw from Fuest et al. (2024) and Bahar et al. (2026) is about method: to look at instrument design, not aggregate spending. Doner and Schneider (2016) treat firm size as a cleavage that works through political weakness. We find that size can also be written into instruments, through thresholds and tiers, independently of the coalitions that form around them, but we do not observe coalitions. For the AI literature, our finding is relevant to the access scenarios of Cerutti et al. (2025): the macro outcome in those models depends on whether domestic firms can provide compute, and the rules we code show where that entry is and is not open. They do not show what firms do with it.</w:t>
      </w:r>
    </w:p>
    <w:bookmarkEnd w:id="45"/>
    <w:bookmarkEnd w:id="46"/>
    <w:bookmarkStart w:id="47" w:name="policy-implications"/>
    <w:p>
      <w:pPr>
        <w:pStyle w:val="Heading2"/>
      </w:pPr>
      <w:r>
        <w:t xml:space="preserve">6. Policy implications</w:t>
      </w:r>
    </w:p>
    <w:p>
      <w:pPr>
        <w:pStyle w:val="FirstParagraph"/>
      </w:pPr>
      <w:r>
        <w:t xml:space="preserve">Each implication follows from a specific finding and carries a condition and a risk.</w:t>
      </w:r>
    </w:p>
    <w:p>
      <w:pPr>
        <w:pStyle w:val="BodyText"/>
      </w:pPr>
      <w:r>
        <w:rPr>
          <w:bCs/>
          <w:b/>
        </w:rPr>
        <w:t xml:space="preserve">First, close the sub-facility gap on a pilot basis.</w:t>
      </w:r>
      <w:r>
        <w:t xml:space="preserve"> </w:t>
      </w:r>
      <w:r>
        <w:t xml:space="preserve">Finding: three of the four countries have no AI-related instrument below facility scale (E2), and Malaysia’s graduated entry tier shows how one could be built. Options are extending eligibility to colocation tenancy, modular deployment or shared-capacity arrangements, or providing subsidised access to public or consortium compute. Vietnam’s startup track offers a template for the design principle: a parallel, more accessible pathway alongside the demanding thresholds, not a lowering of them. Its transfer depends on administrative capacity to screen eligible firms by technical or commercialisation criteria, not by capital. Risks: subsidising resale of foreign-owned capacity, and fiscal leakage if eligibility is loose. We have not costed any option, so we do not claim that the gap can be closed at modest fiscal cost. A small, time-limited pilot with defined eligibility would allow cost and take-up to be observed before scaling.</w:t>
      </w:r>
    </w:p>
    <w:p>
      <w:pPr>
        <w:pStyle w:val="BodyText"/>
      </w:pPr>
      <w:r>
        <w:t xml:space="preserve">Table 6 gives an illustrative calibration of such a ladder, using the same benchmarks as Figure 1. It is meant to show the order of magnitude of each rung and the instrument type each would suit, not to recommend specific thresholds, each of which would need costing and local validation.</w:t>
      </w:r>
    </w:p>
    <w:p>
      <w:pPr>
        <w:pStyle w:val="BodyText"/>
      </w:pPr>
      <w:r>
        <w:rPr>
          <w:bCs/>
          <w:b/>
        </w:rPr>
        <w:t xml:space="preserve">Table 6. Illustrative eligibility ladder calibrated to cost benchmarks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Rung</w:t>
            </w:r>
          </w:p>
        </w:tc>
        <w:tc>
          <w:tcPr/>
          <w:p>
            <w:pPr>
              <w:pStyle w:val="Compact"/>
              <w:jc w:val="left"/>
            </w:pPr>
            <w:r>
              <w:t xml:space="preserve">Capacity</w:t>
            </w:r>
          </w:p>
        </w:tc>
        <w:tc>
          <w:tcPr/>
          <w:p>
            <w:pPr>
              <w:pStyle w:val="Compact"/>
              <w:jc w:val="left"/>
            </w:pPr>
            <w:r>
              <w:t xml:space="preserve">Capital to host: construction only to fully equipped (US$ million)</w:t>
            </w:r>
          </w:p>
        </w:tc>
        <w:tc>
          <w:tcPr/>
          <w:p>
            <w:pPr>
              <w:pStyle w:val="Compact"/>
              <w:jc w:val="left"/>
            </w:pPr>
            <w:r>
              <w:t xml:space="preserve">Instrument type that suits the rung</w:t>
            </w:r>
          </w:p>
        </w:tc>
        <w:tc>
          <w:tcPr/>
          <w:p>
            <w:pPr>
              <w:pStyle w:val="Compact"/>
              <w:jc w:val="left"/>
            </w:pPr>
            <w:r>
              <w:t xml:space="preserve">Reason</w:t>
            </w:r>
          </w:p>
        </w:tc>
      </w:tr>
      <w:tr>
        <w:tc>
          <w:tcPr/>
          <w:p>
            <w:pPr>
              <w:pStyle w:val="Compact"/>
              <w:jc w:val="left"/>
            </w:pPr>
            <w:r>
              <w:t xml:space="preserve">0</w:t>
            </w:r>
          </w:p>
        </w:tc>
        <w:tc>
          <w:tcPr/>
          <w:p>
            <w:pPr>
              <w:pStyle w:val="Compact"/>
              <w:jc w:val="left"/>
            </w:pPr>
            <w:r>
              <w:t xml:space="preserve">One eight-accelerator server (12 kW)</w:t>
            </w:r>
          </w:p>
        </w:tc>
        <w:tc>
          <w:tcPr/>
          <w:p>
            <w:pPr>
              <w:pStyle w:val="Compact"/>
              <w:jc w:val="left"/>
            </w:pPr>
            <w:r>
              <w:t xml:space="preserve">0.13 to 0.46</w:t>
            </w:r>
          </w:p>
        </w:tc>
        <w:tc>
          <w:tcPr/>
          <w:p>
            <w:pPr>
              <w:pStyle w:val="Compact"/>
              <w:jc w:val="left"/>
            </w:pPr>
            <w:r>
              <w:t xml:space="preserve">Direct: compute vouchers for users, matching grants for small providers</w:t>
            </w:r>
          </w:p>
        </w:tc>
        <w:tc>
          <w:tcPr/>
          <w:p>
            <w:pPr>
              <w:pStyle w:val="Compact"/>
              <w:jc w:val="left"/>
            </w:pPr>
            <w:r>
              <w:t xml:space="preserve">Tax relief presupposes taxable profit, which a new provider lacks</w:t>
            </w:r>
          </w:p>
        </w:tc>
      </w:tr>
      <w:tr>
        <w:tc>
          <w:tcPr/>
          <w:p>
            <w:pPr>
              <w:pStyle w:val="Compact"/>
              <w:jc w:val="left"/>
            </w:pPr>
            <w:r>
              <w:t xml:space="preserve">1</w:t>
            </w:r>
          </w:p>
        </w:tc>
        <w:tc>
          <w:tcPr/>
          <w:p>
            <w:pPr>
              <w:pStyle w:val="Compact"/>
              <w:jc w:val="left"/>
            </w:pPr>
            <w:r>
              <w:t xml:space="preserve">100 kW (about eight servers)</w:t>
            </w:r>
          </w:p>
        </w:tc>
        <w:tc>
          <w:tcPr/>
          <w:p>
            <w:pPr>
              <w:pStyle w:val="Compact"/>
              <w:jc w:val="left"/>
            </w:pPr>
            <w:r>
              <w:t xml:space="preserve">1.1 to 3.8</w:t>
            </w:r>
          </w:p>
        </w:tc>
        <w:tc>
          <w:tcPr/>
          <w:p>
            <w:pPr>
              <w:pStyle w:val="Compact"/>
              <w:jc w:val="left"/>
            </w:pPr>
            <w:r>
              <w:t xml:space="preserve">Direct or refundable credit; simple eligibility test</w:t>
            </w:r>
          </w:p>
        </w:tc>
        <w:tc>
          <w:tcPr/>
          <w:p>
            <w:pPr>
              <w:pStyle w:val="Compact"/>
              <w:jc w:val="left"/>
            </w:pPr>
            <w:r>
              <w:t xml:space="preserve">Allows many small trials before any scales up (Hausmann and Rodrik, 2003)</w:t>
            </w:r>
          </w:p>
        </w:tc>
      </w:tr>
      <w:tr>
        <w:tc>
          <w:tcPr/>
          <w:p>
            <w:pPr>
              <w:pStyle w:val="Compact"/>
              <w:jc w:val="left"/>
            </w:pPr>
            <w:r>
              <w:t xml:space="preserve">2</w:t>
            </w:r>
          </w:p>
        </w:tc>
        <w:tc>
          <w:tcPr/>
          <w:p>
            <w:pPr>
              <w:pStyle w:val="Compact"/>
              <w:jc w:val="left"/>
            </w:pPr>
            <w:r>
              <w:t xml:space="preserve">1 MW</w:t>
            </w:r>
          </w:p>
        </w:tc>
        <w:tc>
          <w:tcPr/>
          <w:p>
            <w:pPr>
              <w:pStyle w:val="Compact"/>
              <w:jc w:val="left"/>
            </w:pPr>
            <w:r>
              <w:t xml:space="preserve">10.7 to 38</w:t>
            </w:r>
          </w:p>
        </w:tc>
        <w:tc>
          <w:tcPr/>
          <w:p>
            <w:pPr>
              <w:pStyle w:val="Compact"/>
              <w:jc w:val="left"/>
            </w:pPr>
            <w:r>
              <w:t xml:space="preserve">Milestone-based tax incentive with compliance proportional to size</w:t>
            </w:r>
          </w:p>
        </w:tc>
        <w:tc>
          <w:tcPr/>
          <w:p>
            <w:pPr>
              <w:pStyle w:val="Compact"/>
              <w:jc w:val="left"/>
            </w:pPr>
            <w:r>
              <w:t xml:space="preserve">Avoids the fixed audit cost that weighs on the smallest firms (Section 4.3)</w:t>
            </w:r>
          </w:p>
        </w:tc>
      </w:tr>
      <w:tr>
        <w:tc>
          <w:tcPr/>
          <w:p>
            <w:pPr>
              <w:pStyle w:val="Compact"/>
              <w:jc w:val="left"/>
            </w:pPr>
            <w:r>
              <w:t xml:space="preserve">3</w:t>
            </w:r>
          </w:p>
        </w:tc>
        <w:tc>
          <w:tcPr/>
          <w:p>
            <w:pPr>
              <w:pStyle w:val="Compact"/>
              <w:jc w:val="left"/>
            </w:pPr>
            <w:r>
              <w:t xml:space="preserve">10 MW</w:t>
            </w:r>
          </w:p>
        </w:tc>
        <w:tc>
          <w:tcPr/>
          <w:p>
            <w:pPr>
              <w:pStyle w:val="Compact"/>
              <w:jc w:val="left"/>
            </w:pPr>
            <w:r>
              <w:t xml:space="preserve">107 to 380</w:t>
            </w:r>
          </w:p>
        </w:tc>
        <w:tc>
          <w:tcPr/>
          <w:p>
            <w:pPr>
              <w:pStyle w:val="Compact"/>
              <w:jc w:val="left"/>
            </w:pPr>
            <w:r>
              <w:t xml:space="preserve">Existing facility-scale tax incentive</w:t>
            </w:r>
          </w:p>
        </w:tc>
        <w:tc>
          <w:tcPr/>
          <w:p>
            <w:pPr>
              <w:pStyle w:val="Compact"/>
              <w:jc w:val="left"/>
            </w:pPr>
            <w:r>
              <w:t xml:space="preserve">Comparable to Thailand’s threshold (about 13 MW on construction cost)</w:t>
            </w:r>
          </w:p>
        </w:tc>
      </w:tr>
      <w:tr>
        <w:tc>
          <w:tcPr/>
          <w:p>
            <w:pPr>
              <w:pStyle w:val="Compact"/>
              <w:jc w:val="left"/>
            </w:pPr>
            <w:r>
              <w:t xml:space="preserve">4</w:t>
            </w:r>
          </w:p>
        </w:tc>
        <w:tc>
          <w:tcPr/>
          <w:p>
            <w:pPr>
              <w:pStyle w:val="Compact"/>
              <w:jc w:val="left"/>
            </w:pPr>
            <w:r>
              <w:t xml:space="preserve">40 MW (hyperscale)</w:t>
            </w:r>
          </w:p>
        </w:tc>
        <w:tc>
          <w:tcPr/>
          <w:p>
            <w:pPr>
              <w:pStyle w:val="Compact"/>
              <w:jc w:val="left"/>
            </w:pPr>
            <w:r>
              <w:t xml:space="preserve">428 to 1,520</w:t>
            </w:r>
          </w:p>
        </w:tc>
        <w:tc>
          <w:tcPr/>
          <w:p>
            <w:pPr>
              <w:pStyle w:val="Compact"/>
              <w:jc w:val="left"/>
            </w:pPr>
            <w:r>
              <w:t xml:space="preserve">Existing facility-scale incentive and negotiated packages</w:t>
            </w:r>
          </w:p>
        </w:tc>
        <w:tc>
          <w:tcPr/>
          <w:p>
            <w:pPr>
              <w:pStyle w:val="Compact"/>
              <w:jc w:val="left"/>
            </w:pPr>
            <w:r>
              <w:t xml:space="preserve">Already served by current designs</w:t>
            </w:r>
          </w:p>
        </w:tc>
      </w:tr>
    </w:tbl>
    <w:p>
      <w:pPr>
        <w:pStyle w:val="BodyText"/>
      </w:pPr>
      <w:r>
        <w:rPr>
          <w:iCs/>
          <w:i/>
        </w:rPr>
        <w:t xml:space="preserve">Note.</w:t>
      </w:r>
      <w:r>
        <w:t xml:space="preserve"> </w:t>
      </w:r>
      <w:r>
        <w:t xml:space="preserve">Construction cost of US$10.7m per MW (Turner and Townsend, 2025); fully equipped AI capacity of US$38m per MW (Epoch AI, 2026); 12 kW per server</w:t>
      </w:r>
      <w:r>
        <w:t xml:space="preserve"> </w:t>
      </w:r>
      <w:r>
        <w:rPr>
          <w:bCs/>
          <w:b/>
        </w:rPr>
        <w:t xml:space="preserve">[CITATION NEEDED]</w:t>
      </w:r>
      <w:r>
        <w:t xml:space="preserve">. Figures are products of these benchmarks, not estimates of this paper. Thailand’s threshold of about US$140m corresponds to about 13 MW on the first benchmark and under four MW on the second.</w:t>
      </w:r>
    </w:p>
    <w:p>
      <w:pPr>
        <w:pStyle w:val="BodyText"/>
      </w:pPr>
      <w:r>
        <w:rPr>
          <w:bCs/>
          <w:b/>
        </w:rPr>
        <w:t xml:space="preserve">Second, review instruments whose design presupposes profit or scale in layers that do not need it.</w:t>
      </w:r>
      <w:r>
        <w:t xml:space="preserve"> </w:t>
      </w:r>
      <w:r>
        <w:t xml:space="preserve">Findings: Thailand’s research tier (E3) and Malaysia’s auditor-verified declaration (E4). This follows Bahar et al. (2026), who recommend moving from indirect tax-based support towards instruments that do not presuppose profitability or scale. For Malaysia a lower-cost alternative could be risk-based sampling or a declaration verified in proportion to firm size. The political economy matters here: indirect instruments are administratively simple and fiscally less visible, so replacing them requires a delivery agency with capacity for direct support.</w:t>
      </w:r>
    </w:p>
    <w:p>
      <w:pPr>
        <w:pStyle w:val="BodyText"/>
      </w:pPr>
      <w:r>
        <w:rPr>
          <w:bCs/>
          <w:b/>
        </w:rPr>
        <w:t xml:space="preserve">Third, make infrastructure dependence an explicit choice.</w:t>
      </w:r>
      <w:r>
        <w:t xml:space="preserve"> </w:t>
      </w:r>
      <w:r>
        <w:t xml:space="preserve">If dependence on foreign providers at the infrastructure layer is an acceptable strategic trade-off, it should be stated as a choice, with attention to data-sovereignty implications, not left as a by-product of where thresholds fall. Because we cannot separate this from rational specialisation (Section 5.3), the recommendation is to collect the evidence that would decide it, namely domestic compute price and availability and the growth of small providers, before changing thresholds.</w:t>
      </w:r>
    </w:p>
    <w:bookmarkEnd w:id="47"/>
    <w:bookmarkStart w:id="48" w:name="limitations"/>
    <w:p>
      <w:pPr>
        <w:pStyle w:val="Heading2"/>
      </w:pPr>
      <w:r>
        <w:t xml:space="preserve">7. Limitations</w:t>
      </w:r>
    </w:p>
    <w:p>
      <w:pPr>
        <w:pStyle w:val="FirstParagraph"/>
      </w:pPr>
      <w:r>
        <w:t xml:space="preserve">We list the limitations in order of their effect on validity.</w:t>
      </w:r>
    </w:p>
    <w:p>
      <w:pPr>
        <w:numPr>
          <w:ilvl w:val="0"/>
          <w:numId w:val="1004"/>
        </w:numPr>
        <w:pStyle w:val="Compact"/>
      </w:pPr>
      <w:r>
        <w:rPr>
          <w:bCs/>
          <w:b/>
        </w:rPr>
        <w:t xml:space="preserve">Legal eligibility is not realised access.</w:t>
      </w:r>
      <w:r>
        <w:t xml:space="preserve"> </w:t>
      </w:r>
      <w:r>
        <w:t xml:space="preserve">We code rules as written. Firms may be unable to use an eligible instrument because of application costs or screening practice, and may receive support through general schemes the coding does not yet cover (Section 3.3). Our findings describe the opportunity structure, not who benefits. Linking rules to firm-level take-up, using venture-capital deal flow, patent data by applicant type and approval data by firm size, is the natural next step.</w:t>
      </w:r>
    </w:p>
    <w:p>
      <w:pPr>
        <w:numPr>
          <w:ilvl w:val="0"/>
          <w:numId w:val="1004"/>
        </w:numPr>
        <w:pStyle w:val="Compact"/>
      </w:pPr>
      <w:r>
        <w:rPr>
          <w:bCs/>
          <w:b/>
        </w:rPr>
        <w:t xml:space="preserve">Coding reliability, verification and the currency check are pending.</w:t>
      </w:r>
      <w:r>
        <w:t xml:space="preserve"> </w:t>
      </w:r>
      <w:r>
        <w:t xml:space="preserve">The coding has not been checked by a second coder, some rows have not been re-verified against the primary text, and the check for amendments and superseding instruments (Section 3.2) is not complete.</w:t>
      </w:r>
      <w:r>
        <w:t xml:space="preserve"> </w:t>
      </w:r>
      <w:r>
        <w:rPr>
          <w:bCs/>
          <w:b/>
        </w:rPr>
        <w:t xml:space="preserve">[PENDING: replace with results.]</w:t>
      </w:r>
      <w:r>
        <w:t xml:space="preserve"> </w:t>
      </w:r>
      <w:r>
        <w:t xml:space="preserve">Until then, every finding that depends on a threshold or a classification should be read as provisional.</w:t>
      </w:r>
    </w:p>
    <w:p>
      <w:pPr>
        <w:numPr>
          <w:ilvl w:val="0"/>
          <w:numId w:val="1004"/>
        </w:numPr>
        <w:pStyle w:val="Compact"/>
      </w:pPr>
      <w:r>
        <w:rPr>
          <w:bCs/>
          <w:b/>
        </w:rPr>
        <w:t xml:space="preserve">The central claim is an absence.</w:t>
      </w:r>
      <w:r>
        <w:t xml:space="preserve"> </w:t>
      </w:r>
      <w:r>
        <w:t xml:space="preserve">Absence claims depend on the completeness of the search. Section 3.3 sets out the protocol that is still to be completed, and the sensitivity analysis shows that the main conclusion depends on this evidence (Section 5.3).</w:t>
      </w:r>
    </w:p>
    <w:p>
      <w:pPr>
        <w:numPr>
          <w:ilvl w:val="0"/>
          <w:numId w:val="1004"/>
        </w:numPr>
        <w:pStyle w:val="Compact"/>
      </w:pPr>
      <w:r>
        <w:rPr>
          <w:bCs/>
          <w:b/>
        </w:rPr>
        <w:t xml:space="preserve">Uneven evidence.</w:t>
      </w:r>
      <w:r>
        <w:t xml:space="preserve"> </w:t>
      </w:r>
      <w:r>
        <w:t xml:space="preserve">Only Thailand publishes approval data by sub-activity and ownership. The ownership gradient rests on three points, one of them a single project, and does not generalise to the other countries.</w:t>
      </w:r>
    </w:p>
    <w:p>
      <w:pPr>
        <w:numPr>
          <w:ilvl w:val="0"/>
          <w:numId w:val="1004"/>
        </w:numPr>
        <w:pStyle w:val="Compact"/>
      </w:pPr>
      <w:r>
        <w:rPr>
          <w:bCs/>
          <w:b/>
        </w:rPr>
        <w:t xml:space="preserve">Four cases.</w:t>
      </w:r>
      <w:r>
        <w:t xml:space="preserve"> </w:t>
      </w:r>
      <w:r>
        <w:t xml:space="preserve">The countries are purposively selected (Section 3.1). The findings describe these four systems and do not support statistical claims about Southeast Asia or other economies. They may extend to economies that use threshold-based investment promotion and are less likely to extend to economies with a different incentive architecture. The reasons for excluding Indonesia, a member of the ASEAN Four in Ke (2024), must be stated</w:t>
      </w:r>
      <w:r>
        <w:t xml:space="preserve"> </w:t>
      </w:r>
      <w:r>
        <w:rPr>
          <w:bCs/>
          <w:b/>
        </w:rPr>
        <w:t xml:space="preserve">[PENDING]</w:t>
      </w:r>
      <w:r>
        <w:t xml:space="preserve">. The trap classifications used to choose cases are not findings of this paper.</w:t>
      </w:r>
    </w:p>
    <w:p>
      <w:pPr>
        <w:numPr>
          <w:ilvl w:val="0"/>
          <w:numId w:val="1004"/>
        </w:numPr>
        <w:pStyle w:val="Compact"/>
      </w:pPr>
      <w:r>
        <w:rPr>
          <w:bCs/>
          <w:b/>
        </w:rPr>
        <w:t xml:space="preserve">No causal identification.</w:t>
      </w:r>
      <w:r>
        <w:t xml:space="preserve"> </w:t>
      </w:r>
      <w:r>
        <w:t xml:space="preserve">We assess explanations by process-tracing logic with ordinal ratings, and cannot separate H2 from H3 with legal texts alone.</w:t>
      </w:r>
    </w:p>
    <w:p>
      <w:pPr>
        <w:numPr>
          <w:ilvl w:val="0"/>
          <w:numId w:val="1004"/>
        </w:numPr>
        <w:pStyle w:val="Compact"/>
      </w:pPr>
      <w:r>
        <w:rPr>
          <w:bCs/>
          <w:b/>
        </w:rPr>
        <w:t xml:space="preserve">A moving target.</w:t>
      </w:r>
      <w:r>
        <w:t xml:space="preserve"> </w:t>
      </w:r>
      <w:r>
        <w:t xml:space="preserve">Vietnam’s AI-specific regulatory layer is still developing following the 2025 AI law (Vietnam, 2025). Findings for Vietnam describe a general incentive system that is operational and an AI-specific layer that is still evolving.</w:t>
      </w:r>
    </w:p>
    <w:bookmarkEnd w:id="48"/>
    <w:bookmarkStart w:id="49" w:name="conclusion"/>
    <w:p>
      <w:pPr>
        <w:pStyle w:val="Heading2"/>
      </w:pPr>
      <w:r>
        <w:t xml:space="preserve">8. Conclusion</w:t>
      </w:r>
    </w:p>
    <w:p>
      <w:pPr>
        <w:pStyle w:val="FirstParagraph"/>
      </w:pPr>
      <w:r>
        <w:t xml:space="preserve">This paper asked who can enter the AI industry in four Southeast Asian economies under the incentive rules their governments have written. All four make application development accessible, and Vietnam adds a startup track with direct equity access. Above that layer the four systems use different architectures: a single gate at data-centre capacity in Thailand, a graduated ladder in Malaysia, a priority list that puts its boundary at hardware manufacture in Vietnam, and uniform firm-scale tiers in the Philippines. In Thailand, Vietnam and the Philippines we found no AI-related instrument for compute provision below facility scale, and published cost benchmarks show that capital intensity alone does not account for the gap. Malaysia’s ladder starts closer to that scale, and whether it reaches small providers is the main open question.</w:t>
      </w:r>
    </w:p>
    <w:p>
      <w:pPr>
        <w:pStyle w:val="BodyText"/>
      </w:pPr>
      <w:r>
        <w:t xml:space="preserve">The claims are limited by the evidence. We observe eligibility rules, not realised access or outcomes. The central absence is provisional until the search protocol, the coding of general-purpose instruments and the check of Malaysia’s entry tier are complete, and the coding awaits an independent check. The data do not distinguish a design gap from rational specialisation, and they do not show that a middle-technology trap exists. They identify a design feature that could contribute to such a trap, an opportunity structure in which, in three of the four systems, domestic firms can enter applications but have no stated route into compute supply below facility scale.</w:t>
      </w:r>
    </w:p>
    <w:p>
      <w:pPr>
        <w:pStyle w:val="BodyText"/>
      </w:pPr>
      <w:r>
        <w:t xml:space="preserve">The contribution is a primary-source map of how four governments have built their AI incentive systems, a four-layer, three-dimension coding framework and a typology of incentive architectures that other countries and technologies can reuse, and an evidence matrix that shows which observations discriminate between explanations and which do not. The next step is to test the opportunity structure against firm behaviour: whether small compute providers exist, how domestic AI firms obtain compute, and whether the rules described here shape either.</w:t>
      </w:r>
    </w:p>
    <w:bookmarkEnd w:id="49"/>
    <w:bookmarkStart w:id="50" w:name="appendix-a.-coding-rules"/>
    <w:p>
      <w:pPr>
        <w:pStyle w:val="Heading2"/>
      </w:pPr>
      <w:r>
        <w:t xml:space="preserve">Appendix A. Coding rules</w:t>
      </w:r>
    </w:p>
    <w:p>
      <w:pPr>
        <w:pStyle w:val="FirstParagraph"/>
      </w:pPr>
      <w:r>
        <w:t xml:space="preserve">Stack layer.</w:t>
      </w:r>
      <w:r>
        <w:t xml:space="preserve"> </w:t>
      </w:r>
      <w:r>
        <w:rPr>
          <w:iCs/>
          <w:i/>
        </w:rPr>
        <w:t xml:space="preserve">Applications and models</w:t>
      </w:r>
      <w:r>
        <w:t xml:space="preserve"> </w:t>
      </w:r>
      <w:r>
        <w:t xml:space="preserve">if the instrument governs software, models or AI systems as end products.</w:t>
      </w:r>
      <w:r>
        <w:t xml:space="preserve"> </w:t>
      </w:r>
      <w:r>
        <w:rPr>
          <w:iCs/>
          <w:i/>
        </w:rPr>
        <w:t xml:space="preserve">Cloud and compute services</w:t>
      </w:r>
      <w:r>
        <w:t xml:space="preserve"> </w:t>
      </w:r>
      <w:r>
        <w:t xml:space="preserve">if it governs the provision of computing capacity as a service, whether from owned or leased facilities.</w:t>
      </w:r>
      <w:r>
        <w:t xml:space="preserve"> </w:t>
      </w:r>
      <w:r>
        <w:rPr>
          <w:iCs/>
          <w:i/>
        </w:rPr>
        <w:t xml:space="preserve">Physical data-centre capacity</w:t>
      </w:r>
      <w:r>
        <w:t xml:space="preserve"> </w:t>
      </w:r>
      <w:r>
        <w:t xml:space="preserve">if it governs construction or operation of physical facilities.</w:t>
      </w:r>
      <w:r>
        <w:t xml:space="preserve"> </w:t>
      </w:r>
      <w:r>
        <w:rPr>
          <w:iCs/>
          <w:i/>
        </w:rPr>
        <w:t xml:space="preserve">Hardware manufacture</w:t>
      </w:r>
      <w:r>
        <w:t xml:space="preserve"> </w:t>
      </w:r>
      <w:r>
        <w:t xml:space="preserve">if it governs semiconductor or chip design or fabrication.</w:t>
      </w:r>
      <w:r>
        <w:t xml:space="preserve"> </w:t>
      </w:r>
      <w:r>
        <w:rPr>
          <w:iCs/>
          <w:i/>
        </w:rPr>
        <w:t xml:space="preserve">Cross-cutting</w:t>
      </w:r>
      <w:r>
        <w:t xml:space="preserve"> </w:t>
      </w:r>
      <w:r>
        <w:t xml:space="preserve">if it applies across activity types without targeting a layer.</w:t>
      </w:r>
    </w:p>
    <w:p>
      <w:pPr>
        <w:pStyle w:val="BodyText"/>
      </w:pPr>
      <w:r>
        <w:t xml:space="preserve">Delivery mechanism.</w:t>
      </w:r>
      <w:r>
        <w:t xml:space="preserve"> </w:t>
      </w:r>
      <w:r>
        <w:rPr>
          <w:iCs/>
          <w:i/>
        </w:rPr>
        <w:t xml:space="preserve">Indirect</w:t>
      </w:r>
      <w:r>
        <w:t xml:space="preserve"> </w:t>
      </w:r>
      <w:r>
        <w:t xml:space="preserve">for tax-based instruments (exemptions, holidays, deductions) that presuppose taxable profit or investment expenditure.</w:t>
      </w:r>
      <w:r>
        <w:t xml:space="preserve"> </w:t>
      </w:r>
      <w:r>
        <w:rPr>
          <w:iCs/>
          <w:i/>
        </w:rPr>
        <w:t xml:space="preserve">Direct</w:t>
      </w:r>
      <w:r>
        <w:t xml:space="preserve"> </w:t>
      </w:r>
      <w:r>
        <w:t xml:space="preserve">for grants, equity investment or fee waivers that do not presuppose profitability. Combined schemes are coded as separate rows.</w:t>
      </w:r>
    </w:p>
    <w:p>
      <w:pPr>
        <w:pStyle w:val="BodyText"/>
      </w:pPr>
      <w:r>
        <w:t xml:space="preserve">Formal threshold. Report the eligibility rule as stated in the source, in local currency with a dated conversion. Record</w:t>
      </w:r>
      <w:r>
        <w:t xml:space="preserve"> </w:t>
      </w:r>
      <w:r>
        <w:t xml:space="preserve">“</w:t>
      </w:r>
      <w:r>
        <w:t xml:space="preserve">none stated</w:t>
      </w:r>
      <w:r>
        <w:t xml:space="preserve">”</w:t>
      </w:r>
      <w:r>
        <w:t xml:space="preserve"> </w:t>
      </w:r>
      <w:r>
        <w:t xml:space="preserve">when the source states no threshold.</w:t>
      </w:r>
    </w:p>
    <w:p>
      <w:pPr>
        <w:pStyle w:val="BodyText"/>
      </w:pPr>
      <w:r>
        <w:t xml:space="preserve">New-firm accommodation.</w:t>
      </w:r>
      <w:r>
        <w:t xml:space="preserve"> </w:t>
      </w:r>
      <w:r>
        <w:rPr>
          <w:iCs/>
          <w:i/>
        </w:rPr>
        <w:t xml:space="preserve">Yes</w:t>
      </w:r>
      <w:r>
        <w:t xml:space="preserve"> </w:t>
      </w:r>
      <w:r>
        <w:t xml:space="preserve">only where the source contains an explicit provision easing eligibility for smaller or newer firms.</w:t>
      </w:r>
      <w:r>
        <w:t xml:space="preserve"> </w:t>
      </w:r>
      <w:r>
        <w:rPr>
          <w:iCs/>
          <w:i/>
        </w:rPr>
        <w:t xml:space="preserve">No</w:t>
      </w:r>
      <w:r>
        <w:t xml:space="preserve"> </w:t>
      </w:r>
      <w:r>
        <w:t xml:space="preserve">where none exists, even if the general threshold is numerically low. Proportional requirements are coded</w:t>
      </w:r>
      <w:r>
        <w:t xml:space="preserve"> </w:t>
      </w:r>
      <w:r>
        <w:t xml:space="preserve">“</w:t>
      </w:r>
      <w:r>
        <w:t xml:space="preserve">not scale-based</w:t>
      </w:r>
      <w:r>
        <w:t xml:space="preserve">”</w:t>
      </w:r>
      <w:r>
        <w:t xml:space="preserve">.</w:t>
      </w:r>
    </w:p>
    <w:p>
      <w:pPr>
        <w:pStyle w:val="BodyText"/>
      </w:pPr>
      <w:r>
        <w:t xml:space="preserve">Compliance burden. Any recurring (annual or ongoing) obligation attached to continued eligibility, distinct from one-off application requirements. Fixed-cost obligations are noted explicitly.</w:t>
      </w:r>
    </w:p>
    <w:bookmarkEnd w:id="50"/>
    <w:bookmarkStart w:id="51" w:name="references"/>
    <w:p>
      <w:pPr>
        <w:pStyle w:val="Heading2"/>
      </w:pPr>
      <w:r>
        <w:t xml:space="preserve">References</w:t>
      </w:r>
    </w:p>
    <w:p>
      <w:pPr>
        <w:pStyle w:val="FirstParagraph"/>
      </w:pPr>
      <w:r>
        <w:t xml:space="preserve">Abdurohman, &amp; Huang, X. (2026, January 28).</w:t>
      </w:r>
      <w:r>
        <w:t xml:space="preserve"> </w:t>
      </w:r>
      <w:r>
        <w:rPr>
          <w:iCs/>
          <w:i/>
        </w:rPr>
        <w:t xml:space="preserve">Can ASEAN+3 economies still escape the middle-income trap in the AI era?</w:t>
      </w:r>
      <w:r>
        <w:t xml:space="preserve"> </w:t>
      </w:r>
      <w:r>
        <w:t xml:space="preserve">ASEAN+3 Macroeconomic Research Office. https://amro-asia.org</w:t>
      </w:r>
    </w:p>
    <w:p>
      <w:pPr>
        <w:pStyle w:val="BodyText"/>
      </w:pPr>
      <w:r>
        <w:t xml:space="preserve">Alonso, C., Berg, A., Kothari, S., Papageorgiou, C., &amp; Rehman, S. (2020).</w:t>
      </w:r>
      <w:r>
        <w:t xml:space="preserve"> </w:t>
      </w:r>
      <w:r>
        <w:rPr>
          <w:iCs/>
          <w:i/>
        </w:rPr>
        <w:t xml:space="preserve">Will the AI revolution cause a great divergence?</w:t>
      </w:r>
      <w:r>
        <w:t xml:space="preserve"> </w:t>
      </w:r>
      <w:r>
        <w:t xml:space="preserve">(IMF Working Paper No. 20/184). International Monetary Fund. https://doi.org/10.5089/9781513556505.001</w:t>
      </w:r>
    </w:p>
    <w:p>
      <w:pPr>
        <w:pStyle w:val="BodyText"/>
      </w:pPr>
      <w:r>
        <w:t xml:space="preserve">Ang, A. (2026, July 3). The World Bank has elevated Vietnam and the Philippines to upper-middle-income status, but now they face</w:t>
      </w:r>
      <w:r>
        <w:t xml:space="preserve"> </w:t>
      </w:r>
      <w:r>
        <w:t xml:space="preserve">“</w:t>
      </w:r>
      <w:r>
        <w:t xml:space="preserve">a far more demanding phase of development.</w:t>
      </w:r>
      <w:r>
        <w:t xml:space="preserve">”</w:t>
      </w:r>
      <w:r>
        <w:t xml:space="preserve"> </w:t>
      </w:r>
      <w:r>
        <w:rPr>
          <w:iCs/>
          <w:i/>
        </w:rPr>
        <w:t xml:space="preserve">Fortune</w:t>
      </w:r>
      <w:r>
        <w:t xml:space="preserve">. https://fortune.com</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 https://doi.org/10.1016/j.strueco.2024.08.008</w:t>
      </w:r>
    </w:p>
    <w:p>
      <w:pPr>
        <w:pStyle w:val="BodyText"/>
      </w:pPr>
      <w:r>
        <w:t xml:space="preserve">Bloom, N., Griffith, R., &amp; Van Reenen, J. (2002). Do R&amp;D tax credits work? Evidence from a panel of countries 1979-1997.</w:t>
      </w:r>
      <w:r>
        <w:t xml:space="preserve"> </w:t>
      </w:r>
      <w:r>
        <w:rPr>
          <w:iCs/>
          <w:i/>
        </w:rPr>
        <w:t xml:space="preserve">Journal of Public Economics, 85</w:t>
      </w:r>
      <w:r>
        <w:t xml:space="preserve">(1), 1-31. https://doi.org/10.1016/S0047-2727(01)00086-X</w:t>
      </w:r>
    </w:p>
    <w:p>
      <w:pPr>
        <w:pStyle w:val="BodyText"/>
      </w:pPr>
      <w:r>
        <w:t xml:space="preserve">Board of Investment of Thailand. (2022).</w:t>
      </w:r>
      <w:r>
        <w:t xml:space="preserve"> </w:t>
      </w:r>
      <w:r>
        <w:rPr>
          <w:iCs/>
          <w:i/>
        </w:rPr>
        <w:t xml:space="preserve">Announcements No. 8/2565, 9/2565 and 10/2565 on investment promotion measures</w:t>
      </w:r>
      <w:r>
        <w:t xml:space="preserve">. Office of the Board of Investment.</w:t>
      </w:r>
    </w:p>
    <w:p>
      <w:pPr>
        <w:pStyle w:val="BodyText"/>
      </w:pPr>
      <w:r>
        <w:t xml:space="preserve">Board of Investment of Thailand. (2025).</w:t>
      </w:r>
      <w:r>
        <w:t xml:space="preserve"> </w:t>
      </w:r>
      <w:r>
        <w:rPr>
          <w:iCs/>
          <w:i/>
        </w:rPr>
        <w:t xml:space="preserve">A guide to investment promotion 2025</w:t>
      </w:r>
      <w:r>
        <w:t xml:space="preserve">. Office of the Board of Investment.</w:t>
      </w:r>
    </w:p>
    <w:p>
      <w:pPr>
        <w:pStyle w:val="BodyText"/>
      </w:pPr>
      <w:r>
        <w:t xml:space="preserve">Board of Investment of Thailand. (2026).</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 https://doi.org/10.5089/9798229008570.001</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Cucio, M., &amp; Hennig, T. (2025).</w:t>
      </w:r>
      <w:r>
        <w:t xml:space="preserve"> </w:t>
      </w:r>
      <w:r>
        <w:rPr>
          <w:iCs/>
          <w:i/>
        </w:rPr>
        <w:t xml:space="preserve">Artificial intelligence and the Philippine labor market: Mapping occupational exposure and complementarity</w:t>
      </w:r>
      <w:r>
        <w:t xml:space="preserve"> </w:t>
      </w:r>
      <w:r>
        <w:t xml:space="preserve">(IMF Working Paper No. 25/43). International Monetary Fund. https://doi.org/10.5089/9798229001977.001</w:t>
      </w:r>
    </w:p>
    <w:p>
      <w:pPr>
        <w:pStyle w:val="BodyText"/>
      </w:pPr>
      <w:r>
        <w:t xml:space="preserve">Doner, R. F., &amp; Schneider, B. R. (2016). The middle-income trap: More politics than economics.</w:t>
      </w:r>
      <w:r>
        <w:t xml:space="preserve"> </w:t>
      </w:r>
      <w:r>
        <w:rPr>
          <w:iCs/>
          <w:i/>
        </w:rPr>
        <w:t xml:space="preserve">World Politics, 68</w:t>
      </w:r>
      <w:r>
        <w:t xml:space="preserve">(4), 608-644. https://doi.org/10.1017/S0043887116000095</w:t>
      </w:r>
    </w:p>
    <w:p>
      <w:pPr>
        <w:pStyle w:val="BodyText"/>
      </w:pPr>
      <w:r>
        <w:t xml:space="preserve">Eichengreen, B., Park, D., &amp; Shin, K. (2012). When fast-growing economies slow down: International evidence and implications for China.</w:t>
      </w:r>
      <w:r>
        <w:t xml:space="preserve"> </w:t>
      </w:r>
      <w:r>
        <w:rPr>
          <w:iCs/>
          <w:i/>
        </w:rPr>
        <w:t xml:space="preserve">Asian Economic Papers, 11</w:t>
      </w:r>
      <w:r>
        <w:t xml:space="preserve">(1), 42-87. https://doi.org/10.1162/ASEP_a_00118</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 https://doi.org/10.1016/j.japwor.2014.07.003</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 https://doi.org/10.1017/pan.2017.14</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Gill, I., &amp; Kharas, H. (2007).</w:t>
      </w:r>
      <w:r>
        <w:t xml:space="preserve"> </w:t>
      </w:r>
      <w:r>
        <w:rPr>
          <w:iCs/>
          <w:i/>
        </w:rPr>
        <w:t xml:space="preserve">An East Asian renaissance: Ideas for economic growth</w:t>
      </w:r>
      <w:r>
        <w:t xml:space="preserve">. World Bank.</w:t>
      </w:r>
    </w:p>
    <w:p>
      <w:pPr>
        <w:pStyle w:val="BodyText"/>
      </w:pPr>
      <w:r>
        <w:t xml:space="preserve">Glawe, L., &amp; Wagner, H. (2020). The middle-income trap 2.0: The increasing role of human capital in the age of automation and implications for developing Asia.</w:t>
      </w:r>
      <w:r>
        <w:t xml:space="preserve"> </w:t>
      </w:r>
      <w:r>
        <w:rPr>
          <w:iCs/>
          <w:i/>
        </w:rPr>
        <w:t xml:space="preserve">Asian Economic Papers, 19</w:t>
      </w:r>
      <w:r>
        <w:t xml:space="preserve">(3), 40-58. https://doi.org/10.1162/asep_a_00783</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Ide, E., &amp; Talamàs, E. (2025). Artificial intelligence in the knowledge economy.</w:t>
      </w:r>
      <w:r>
        <w:t xml:space="preserve"> </w:t>
      </w:r>
      <w:r>
        <w:rPr>
          <w:iCs/>
          <w:i/>
        </w:rPr>
        <w:t xml:space="preserve">Journal of Political Economy, 133</w:t>
      </w:r>
      <w:r>
        <w:t xml:space="preserve">, 3762-3800. https://doi.org/10.1086/737233</w:t>
      </w:r>
    </w:p>
    <w:p>
      <w:pPr>
        <w:pStyle w:val="BodyText"/>
      </w:pPr>
      <w:r>
        <w:t xml:space="preserve">Ide, E., &amp; Talamàs, E. (2026). The impact of AI on global knowledge work.</w:t>
      </w:r>
      <w:r>
        <w:t xml:space="preserve"> </w:t>
      </w:r>
      <w:r>
        <w:rPr>
          <w:iCs/>
          <w:i/>
        </w:rPr>
        <w:t xml:space="preserve">Journal of Monetary Economics, 157</w:t>
      </w:r>
      <w:r>
        <w:t xml:space="preserve">, 103876. https://doi.org/10.1016/j.jmoneco.2025.103876</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 Advance online publication. https://doi.org/10.1111/sjoe.70036</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 https://doi.org/10.1007/s44216-024-00033-5</w:t>
      </w:r>
    </w:p>
    <w:p>
      <w:pPr>
        <w:pStyle w:val="BodyText"/>
      </w:pPr>
      <w:r>
        <w:t xml:space="preserve">Krippendorff, K. (2018).</w:t>
      </w:r>
      <w:r>
        <w:t xml:space="preserve"> </w:t>
      </w:r>
      <w:r>
        <w:rPr>
          <w:iCs/>
          <w:i/>
        </w:rPr>
        <w:t xml:space="preserve">Content analysis: An introduction to its methodology</w:t>
      </w:r>
      <w:r>
        <w:t xml:space="preserve"> </w:t>
      </w:r>
      <w:r>
        <w:t xml:space="preserve">(4th ed.). SAGE.</w:t>
      </w:r>
    </w:p>
    <w:p>
      <w:pPr>
        <w:pStyle w:val="BodyText"/>
      </w:pPr>
      <w:r>
        <w:t xml:space="preserve">Lee, K. (2013).</w:t>
      </w:r>
      <w:r>
        <w:t xml:space="preserve"> </w:t>
      </w:r>
      <w:r>
        <w:rPr>
          <w:iCs/>
          <w:i/>
        </w:rPr>
        <w:t xml:space="preserve">Schumpeterian analysis of economic catch-up: Knowledge, path-creation, and the middle-income trap</w:t>
      </w:r>
      <w:r>
        <w:t xml:space="preserve">. Cambridge University Press. https://doi.org/10.1017/CBO9781107337244</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 https://doi.org/10.1017/9781108588232</w:t>
      </w:r>
    </w:p>
    <w:p>
      <w:pPr>
        <w:pStyle w:val="BodyText"/>
      </w:pPr>
      <w:r>
        <w:t xml:space="preserve">Lee, K., Wong, C.-Y., Intarakumnerd, P., &amp; Limapornvanich, C. (2020). Is the Fourth Industrial Revolution a window of opportunity for upgrading or reinforcing the middle-income trap? Asian model of development in Southeast Asia.</w:t>
      </w:r>
      <w:r>
        <w:t xml:space="preserve"> </w:t>
      </w:r>
      <w:r>
        <w:rPr>
          <w:iCs/>
          <w:i/>
        </w:rPr>
        <w:t xml:space="preserve">Journal of Economic Policy Reform, 23</w:t>
      </w:r>
      <w:r>
        <w:t xml:space="preserve">(4), 408-425. https://doi.org/10.1080/17487870.2019.1565411</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 828-838. https://doi.org/10.1609/aies.v7i1.31683</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 32</w:t>
      </w:r>
      <w:r>
        <w:t xml:space="preserve">(5), 1442-1467. https://doi.org/10.1080/09692290.2025.2489077</w:t>
      </w:r>
    </w:p>
    <w:p>
      <w:pPr>
        <w:pStyle w:val="BodyText"/>
      </w:pPr>
      <w:r>
        <w:t xml:space="preserve">Mahoney, J. (2012). The logic of process tracing tests in the social sciences.</w:t>
      </w:r>
      <w:r>
        <w:t xml:space="preserve"> </w:t>
      </w:r>
      <w:r>
        <w:rPr>
          <w:iCs/>
          <w:i/>
        </w:rPr>
        <w:t xml:space="preserve">Sociological Methods &amp; Research, 41</w:t>
      </w:r>
      <w:r>
        <w:t xml:space="preserve">(4), 570-597. https://doi.org/10.1177/0049124112437709</w:t>
      </w:r>
    </w:p>
    <w:p>
      <w:pPr>
        <w:pStyle w:val="BodyText"/>
      </w:pPr>
      <w:r>
        <w:t xml:space="preserve">Malaysia Digital Economy Corporation. (2024).</w:t>
      </w:r>
      <w:r>
        <w:t xml:space="preserve"> </w:t>
      </w:r>
      <w:r>
        <w:rPr>
          <w:iCs/>
          <w:i/>
        </w:rPr>
        <w:t xml:space="preserve">Guidelines on Malaysia Digital (MD) tax incentive (new investment incentive)</w:t>
      </w:r>
      <w:r>
        <w:t xml:space="preserve">. MDEC.</w:t>
      </w:r>
    </w:p>
    <w:p>
      <w:pPr>
        <w:pStyle w:val="BodyText"/>
      </w:pPr>
      <w:r>
        <w:t xml:space="preserve">Malaysian Investment Development Authority. (2022).</w:t>
      </w:r>
      <w:r>
        <w:t xml:space="preserve"> </w:t>
      </w:r>
      <w:r>
        <w:rPr>
          <w:iCs/>
          <w:i/>
        </w:rPr>
        <w:t xml:space="preserve">Guidelines and procedures for the application of the Digital Ecosystem Acceleration (DESAC) scheme</w:t>
      </w:r>
      <w:r>
        <w:t xml:space="preserve">. MIDA.</w:t>
      </w:r>
    </w:p>
    <w:p>
      <w:pPr>
        <w:pStyle w:val="BodyText"/>
      </w:pPr>
      <w:r>
        <w:t xml:space="preserve">OECD. (2024).</w:t>
      </w:r>
      <w:r>
        <w:t xml:space="preserve"> </w:t>
      </w:r>
      <w:r>
        <w:rPr>
          <w:iCs/>
          <w:i/>
        </w:rPr>
        <w:t xml:space="preserve">Offshoring, reshoring and the evolving geography of jobs</w:t>
      </w:r>
      <w:r>
        <w:t xml:space="preserve"> </w:t>
      </w:r>
      <w:r>
        <w:t xml:space="preserve">(OECD Social, Employment and Migration Working Paper). OECD Publishing.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Philippines, Fiscal Incentives Review Board. (2025).</w:t>
      </w:r>
      <w:r>
        <w:t xml:space="preserve"> </w:t>
      </w:r>
      <w:r>
        <w:rPr>
          <w:iCs/>
          <w:i/>
        </w:rPr>
        <w:t xml:space="preserve">Implementing rules and regulations of Title XIII of the National Internal Revenue Code of 1997, as amended by Republic Act No. 12066</w:t>
      </w:r>
      <w:r>
        <w:t xml:space="preserve"> </w:t>
      </w:r>
      <w:r>
        <w:t xml:space="preserve">(FIRB Advisory No. 001-2025). FIRB.</w:t>
      </w:r>
    </w:p>
    <w:p>
      <w:pPr>
        <w:pStyle w:val="BodyText"/>
      </w:pPr>
      <w:r>
        <w:t xml:space="preserve">Schellekens, P., &amp; Skilling, D. (2024).</w:t>
      </w:r>
      <w:r>
        <w:t xml:space="preserve"> </w:t>
      </w:r>
      <w:r>
        <w:rPr>
          <w:iCs/>
          <w:i/>
        </w:rPr>
        <w:t xml:space="preserve">Three reasons why AI may widen global inequality</w:t>
      </w:r>
      <w:r>
        <w:t xml:space="preserve">. Center for Global Development.</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 https://doi.org/10.1177/1065912907313077</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Van Evera, S. (1997).</w:t>
      </w:r>
      <w:r>
        <w:t xml:space="preserve"> </w:t>
      </w:r>
      <w:r>
        <w:rPr>
          <w:iCs/>
          <w:i/>
        </w:rPr>
        <w:t xml:space="preserve">Guide to methods for students of political science</w:t>
      </w:r>
      <w:r>
        <w:t xml:space="preserve">. Cornell University Press.</w:t>
      </w:r>
    </w:p>
    <w:p>
      <w:pPr>
        <w:pStyle w:val="BodyText"/>
      </w:pPr>
      <w:r>
        <w:t xml:space="preserve">Vietnam. (2025).</w:t>
      </w:r>
      <w:r>
        <w:t xml:space="preserve"> </w:t>
      </w:r>
      <w:r>
        <w:rPr>
          <w:iCs/>
          <w:i/>
        </w:rPr>
        <w:t xml:space="preserve">Law on Artificial Intelligence, No. 134/2025/QH15</w:t>
      </w:r>
      <w:r>
        <w:t xml:space="preserve">. National Assembly of Vietnam.</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Vietnam, General Statistics Office. (2024).</w:t>
      </w:r>
      <w:r>
        <w:t xml:space="preserve"> </w:t>
      </w:r>
      <w:r>
        <w:rPr>
          <w:iCs/>
          <w:i/>
        </w:rPr>
        <w:t xml:space="preserve">Statistical yearbook of Vietnam 2024</w:t>
      </w:r>
      <w:r>
        <w:t xml:space="preserve">. Statistical Publishing House.</w:t>
      </w:r>
    </w:p>
    <w:p>
      <w:pPr>
        <w:pStyle w:val="BodyText"/>
      </w:pPr>
      <w:r>
        <w:t xml:space="preserve">Vietnam, Ministry of Information and Communications. (2024).</w:t>
      </w:r>
      <w:r>
        <w:t xml:space="preserve"> </w:t>
      </w:r>
      <w:r>
        <w:rPr>
          <w:iCs/>
          <w:i/>
        </w:rPr>
        <w:t xml:space="preserve">Vietnam information and communication technology industry white book 2024</w:t>
      </w:r>
      <w:r>
        <w:t xml:space="preserve">. Information and Communications Publishing House.</w:t>
      </w:r>
    </w:p>
    <w:p>
      <w:pPr>
        <w:pStyle w:val="BodyText"/>
      </w:pPr>
      <w:r>
        <w:t xml:space="preserve">Zee, H. H., Stotsky, J. G., &amp; Ley, E. (2002). Tax incentives for business investment: A primer for policy makers in developing countries.</w:t>
      </w:r>
      <w:r>
        <w:t xml:space="preserve"> </w:t>
      </w:r>
      <w:r>
        <w:rPr>
          <w:iCs/>
          <w:i/>
        </w:rPr>
        <w:t xml:space="preserve">World Development, 30</w:t>
      </w:r>
      <w:r>
        <w:t xml:space="preserve">(9), 1497-1516.</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 https://doi.org/10.1007/s44216-024-00030-8</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Incentive Design and Domestic Firms’ Entry into the AI Stack: Evidence from Thailand, Vietnam, Malaysia and the Philippines</dc:title>
  <dc:creator/>
  <cp:keywords/>
  <dcterms:created xsi:type="dcterms:W3CDTF">2026-10-09T02:13:25Z</dcterms:created>
  <dcterms:modified xsi:type="dcterms:W3CDTF">2026-10-09T02:13:25Z</dcterms:modified>
</cp:coreProperties>
</file>

<file path=docProps/custom.xml><?xml version="1.0" encoding="utf-8"?>
<Properties xmlns="http://schemas.openxmlformats.org/officeDocument/2006/custom-properties" xmlns:vt="http://schemas.openxmlformats.org/officeDocument/2006/docPropsVTypes"/>
</file>