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Where</w:t>
      </w:r>
      <w:r>
        <w:t xml:space="preserve"> </w:t>
      </w:r>
      <w:r>
        <w:t xml:space="preserve">the</w:t>
      </w:r>
      <w:r>
        <w:t xml:space="preserve"> </w:t>
      </w:r>
      <w:r>
        <w:t xml:space="preserve">Screen</w:t>
      </w:r>
      <w:r>
        <w:t xml:space="preserve"> </w:t>
      </w:r>
      <w:r>
        <w:t xml:space="preserve">Falls:</w:t>
      </w:r>
      <w:r>
        <w:t xml:space="preserve"> </w:t>
      </w:r>
      <w:r>
        <w:t xml:space="preserve">Incentive</w:t>
      </w:r>
      <w:r>
        <w:t xml:space="preserve"> </w:t>
      </w:r>
      <w:r>
        <w:t xml:space="preserve">Architecture</w:t>
      </w:r>
      <w:r>
        <w:t xml:space="preserve"> </w:t>
      </w:r>
      <w:r>
        <w:t xml:space="preserve">and</w:t>
      </w:r>
      <w:r>
        <w:t xml:space="preserve"> </w:t>
      </w:r>
      <w:r>
        <w:t xml:space="preserve">Domestic</w:t>
      </w:r>
      <w:r>
        <w:t xml:space="preserve"> </w:t>
      </w:r>
      <w:r>
        <w:t xml:space="preserve">Firms’</w:t>
      </w:r>
      <w:r>
        <w:t xml:space="preserve"> </w:t>
      </w:r>
      <w:r>
        <w:t xml:space="preserve">Entry</w:t>
      </w:r>
      <w:r>
        <w:t xml:space="preserve"> </w:t>
      </w:r>
      <w:r>
        <w:t xml:space="preserve">into</w:t>
      </w:r>
      <w:r>
        <w:t xml:space="preserve"> </w:t>
      </w:r>
      <w:r>
        <w:t xml:space="preserve">the</w:t>
      </w:r>
      <w:r>
        <w:t xml:space="preserve"> </w:t>
      </w:r>
      <w:r>
        <w:t xml:space="preserve">AI</w:t>
      </w:r>
      <w:r>
        <w:t xml:space="preserve"> </w:t>
      </w:r>
      <w:r>
        <w:t xml:space="preserve">Stack</w:t>
      </w:r>
      <w:r>
        <w:t xml:space="preserve"> </w:t>
      </w:r>
      <w:r>
        <w:t xml:space="preserve">in</w:t>
      </w:r>
      <w:r>
        <w:t xml:space="preserve"> </w:t>
      </w:r>
      <w:r>
        <w:t xml:space="preserve">Southeast</w:t>
      </w:r>
      <w:r>
        <w:t xml:space="preserve"> </w:t>
      </w:r>
      <w:r>
        <w:t xml:space="preserve">Asia</w:t>
      </w:r>
    </w:p>
    <w:p>
      <w:pPr>
        <w:pStyle w:val="FirstParagraph"/>
      </w:pPr>
      <w:r>
        <w:rPr>
          <w:bCs/>
          <w:b/>
        </w:rPr>
        <w:t xml:space="preserve">Title page (with author details). The anonymized manuscript is a separate file.</w:t>
      </w:r>
    </w:p>
    <w:p>
      <w:pPr>
        <w:pStyle w:val="BodyText"/>
      </w:pPr>
      <w:r>
        <w:rPr>
          <w:bCs/>
          <w:b/>
        </w:rPr>
        <w:t xml:space="preserve">Authors</w:t>
      </w:r>
    </w:p>
    <w:p>
      <w:pPr>
        <w:pStyle w:val="BodyText"/>
      </w:pPr>
      <w:r>
        <w:t xml:space="preserve">Quang-Vinh Dangᵃ,* and Thi-Hong-Hanh Nguyenᵇ</w:t>
      </w:r>
    </w:p>
    <w:p>
      <w:pPr>
        <w:pStyle w:val="BodyText"/>
      </w:pPr>
      <w:r>
        <w:t xml:space="preserve">ᵃ British University Vietnam, Ecopark, Van Giang, Hung Yen, Vietnam</w:t>
      </w:r>
    </w:p>
    <w:p>
      <w:pPr>
        <w:pStyle w:val="BodyText"/>
      </w:pPr>
      <w:r>
        <w:t xml:space="preserve">ᵇ Banking Academy of Vietnam, 12 Chua Boc Street, Dong Da District, Hanoi, Vietnam</w:t>
      </w:r>
    </w:p>
    <w:p>
      <w:pPr>
        <w:numPr>
          <w:ilvl w:val="0"/>
          <w:numId w:val="1001"/>
        </w:numPr>
        <w:pStyle w:val="Compact"/>
      </w:pPr>
      <w:r>
        <w:t xml:space="preserve">Corresponding author: Quang-Vinh Dang, British University Vietnam, Ecopark, Van Giang, Hung Yen, Vietnam. Email: vinh.dq4@buv.edu.vn. ORCID: 0000-0002-3877-8024</w:t>
      </w:r>
    </w:p>
    <w:p>
      <w:pPr>
        <w:pStyle w:val="FirstParagraph"/>
      </w:pPr>
      <w:r>
        <w:t xml:space="preserve">Co-author email: hanh.nth1@hvnh.edu.vn</w:t>
      </w:r>
    </w:p>
    <w:p>
      <w:pPr>
        <w:pStyle w:val="BodyText"/>
      </w:pPr>
      <w:r>
        <w:rPr>
          <w:bCs/>
          <w:b/>
        </w:rPr>
        <w:t xml:space="preserve">Keywords:</w:t>
      </w:r>
      <w:r>
        <w:t xml:space="preserve"> </w:t>
      </w:r>
      <w:r>
        <w:t xml:space="preserve">AI industrial policy; investment incentives; incentive design; middle-income trap; middle-technology trap; Southeast Asia</w:t>
      </w:r>
    </w:p>
    <w:p>
      <w:pPr>
        <w:pStyle w:val="BodyText"/>
      </w:pPr>
      <w:r>
        <w:rPr>
          <w:bCs/>
          <w:b/>
        </w:rPr>
        <w:t xml:space="preserve">Acknowledgments:</w:t>
      </w:r>
      <w:r>
        <w:t xml:space="preserve"> </w:t>
      </w:r>
      <w:r>
        <w:t xml:space="preserve">None.</w:t>
      </w:r>
    </w:p>
    <w:p>
      <w:pPr>
        <w:pStyle w:val="BodyText"/>
      </w:pPr>
      <w:r>
        <w:rPr>
          <w:bCs/>
          <w:b/>
        </w:rPr>
        <w:t xml:space="preserve">Funding:</w:t>
      </w:r>
      <w:r>
        <w:t xml:space="preserve"> </w:t>
      </w:r>
      <w:r>
        <w:t xml:space="preserve">This research did not receive any specific grant from funding agencies in the public, commercial, or not-for-profit sectors.</w:t>
      </w:r>
    </w:p>
    <w:p>
      <w:pPr>
        <w:pStyle w:val="BodyText"/>
      </w:pPr>
      <w:r>
        <w:rPr>
          <w:bCs/>
          <w:b/>
        </w:rPr>
        <w:t xml:space="preserve">Declaration of competing interests:</w:t>
      </w:r>
      <w:r>
        <w:t xml:space="preserve"> </w:t>
      </w:r>
      <w:r>
        <w:t xml:space="preserve">The authors declare that they have no known competing financial interests or personal relationships that could have appeared to influence the work reported in this paper.</w:t>
      </w:r>
    </w:p>
    <w:p>
      <w:pPr>
        <w:pStyle w:val="BodyText"/>
      </w:pPr>
      <w:r>
        <w:rPr>
          <w:bCs/>
          <w:b/>
        </w:rPr>
        <w:t xml:space="preserve">CRediT authorship contribution statement</w:t>
      </w:r>
    </w:p>
    <w:p>
      <w:pPr>
        <w:pStyle w:val="BodyText"/>
      </w:pPr>
      <w:r>
        <w:t xml:space="preserve">Quang-Vinh Dang: Conceptualization, Methodology, Investigation, Data curation, Formal analysis, Visualization, Writing – original draft. Thi-Hong-Hanh Nguyen: Validation, Writing – review and editing.</w:t>
      </w:r>
    </w:p>
    <w:p>
      <w:pPr>
        <w:pStyle w:val="BodyText"/>
      </w:pPr>
      <w:r>
        <w:rPr>
          <w:bCs/>
          <w:b/>
        </w:rPr>
        <w:t xml:space="preserve">Declaration of generative AI and AI-assisted technologies in the manuscript preparation process:</w:t>
      </w:r>
      <w:r>
        <w:t xml:space="preserve"> </w:t>
      </w:r>
      <w:r>
        <w:t xml:space="preserve">During the preparation of this work the authors used Claude (Anthropic) to assist with drafting, editing and formatting the text and as a blind second coder of the legal instruments. After using this tool, the authors reviewed and edited the content as needed and take full responsibility for the content of the published article.</w:t>
      </w:r>
    </w:p>
    <w:p>
      <w:pPr>
        <w:pStyle w:val="BodyText"/>
      </w:pPr>
      <w:r>
        <w:rPr>
          <w:bCs/>
          <w:b/>
        </w:rPr>
        <w:t xml:space="preserve">Data statement:</w:t>
      </w:r>
      <w:r>
        <w:t xml:space="preserve"> </w:t>
      </w:r>
      <w:r>
        <w:t xml:space="preserve">The instrument-level coding matrix, the sources, the second-coder check and the viability benchmark are provided as supplementary material (Tables S1 to S6).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2"/>
    </w:rPr>
  </w:style>
  <w:style w:styleId="BodyText" w:type="paragraph">
    <w:name w:val="Body Text"/>
    <w:basedOn w:val="Normal"/>
    <w:link w:val="BodyTextChar"/>
    <w:pPr>
      <w:spacing w:after="180" w:before="180"/>
    </w:pPr>
    <w:qFormat/>
    <w:rPr>
      <w:rFonts w:ascii="Times New Roman" w:hAnsi="Times New Roman"/>
      <w:sz w:val="22"/>
    </w:rPr>
  </w:style>
  <w:style w:customStyle="1" w:styleId="FirstParagraph" w:type="paragraph">
    <w:name w:val="First Paragraph"/>
    <w:basedOn w:val="BodyText"/>
    <w:next w:val="BodyText"/>
    <w:qFormat/>
    <w:rPr>
      <w:rFonts w:ascii="Times New Roman" w:hAnsi="Times New Roman"/>
      <w:sz w:val="22"/>
    </w:rPr>
  </w:style>
  <w:style w:customStyle="1" w:styleId="Compact" w:type="paragraph">
    <w:name w:val="Compact"/>
    <w:basedOn w:val="BodyText"/>
    <w:qFormat/>
    <w:pPr>
      <w:spacing w:after="36" w:before="36"/>
    </w:pPr>
    <w:rPr>
      <w:rFonts w:ascii="Times New Roman" w:hAnsi="Times New Roman"/>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the Screen Falls: Incentive Architecture and Domestic Firms’ Entry into the AI Stack in Southeast Asia</dc:title>
  <dc:creator/>
  <cp:keywords/>
  <dcterms:created xsi:type="dcterms:W3CDTF">2026-10-19T22:40:46Z</dcterms:created>
  <dcterms:modified xsi:type="dcterms:W3CDTF">2026-10-19T22:40:46Z</dcterms:modified>
</cp:coreProperties>
</file>

<file path=docProps/custom.xml><?xml version="1.0" encoding="utf-8"?>
<Properties xmlns="http://schemas.openxmlformats.org/officeDocument/2006/custom-properties" xmlns:vt="http://schemas.openxmlformats.org/officeDocument/2006/docPropsVTypes"/>
</file>