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letter</w:t>
      </w:r>
    </w:p>
    <w:p>
      <w:pPr>
        <w:pStyle w:val="FirstParagraph"/>
      </w:pPr>
      <w:r>
        <w:t xml:space="preserve">Dear Professor Bohlin,</w:t>
      </w:r>
    </w:p>
    <w:p>
      <w:pPr>
        <w:pStyle w:val="BodyText"/>
      </w:pPr>
      <w:r>
        <w:t xml:space="preserve">We submit</w:t>
      </w:r>
      <w:r>
        <w:t xml:space="preserve"> </w:t>
      </w:r>
      <w:r>
        <w:t xml:space="preserve">“</w:t>
      </w:r>
      <w:r>
        <w:t xml:space="preserve">Where the Screen Falls: Incentive Architecture and Domestic Firms’ Entry into the AI Stack in Southeast Asia</w:t>
      </w:r>
      <w:r>
        <w:t xml:space="preserve">”</w:t>
      </w:r>
      <w:r>
        <w:t xml:space="preserve"> </w:t>
      </w:r>
      <w:r>
        <w:t xml:space="preserve">for consideration as a research article in</w:t>
      </w:r>
      <w:r>
        <w:t xml:space="preserve"> </w:t>
      </w:r>
      <w:r>
        <w:rPr>
          <w:iCs/>
          <w:i/>
        </w:rPr>
        <w:t xml:space="preserve">Telecommunications Policy</w:t>
      </w:r>
      <w:r>
        <w:t xml:space="preserve">.</w:t>
      </w:r>
    </w:p>
    <w:p>
      <w:pPr>
        <w:pStyle w:val="BodyText"/>
      </w:pPr>
      <w:r>
        <w:t xml:space="preserve">Governments in Malaysia, the Philippines, Thailand and Vietnam have written artificial intelligence (AI) into their investment incentive systems, but no study has examined which domestic firms those rules admit to the AI stack, from applications down to cloud services and data-centre capacity. Whether smaller domestic firms can supply computing capacity, and not only use it, shapes how far digitalization benefits local economies. We code 29 incentive instruments from the primary legal texts, place their capital thresholds on a common cost scale, test eligibility for three hypothetical firms, and ask whether cost, scale-favouring design or administrative habit better explains the pattern.</w:t>
      </w:r>
    </w:p>
    <w:p>
      <w:pPr>
        <w:pStyle w:val="BodyText"/>
      </w:pPr>
      <w:r>
        <w:t xml:space="preserve">The four countries use four different architectures. All make application-layer support accessible to small firms. At the compute layers, Thailand’s gates lie two to three orders of magnitude above the capital needed to host one server, but about one order or less above the fleet a viability benchmark finds workable. Where small cloud providers can enter, the screen is a fixed compliance cost, and no instrument targets provision below facility scale. We draw implications for policy and regulation: audit which instruments a small compute provider could use, lower fixed certification and audit costs, and collect data on prices and take-up by firm size before changing thresholds. The paper is explicit about its limits: it studies legal eligibility, not realised access.</w:t>
      </w:r>
    </w:p>
    <w:p>
      <w:pPr>
        <w:pStyle w:val="BodyText"/>
      </w:pPr>
      <w:r>
        <w:t xml:space="preserve">We believe the paper fits the journal’s scope on policy, regulation and governance, artificial intelligence and data science, and the digital economy in developing countries. It is anonymized for double anonymized review, with the title page, highlights and Supporting Information as separate files.</w:t>
      </w:r>
    </w:p>
    <w:p>
      <w:pPr>
        <w:pStyle w:val="BodyText"/>
      </w:pPr>
      <w:r>
        <w:t xml:space="preserve">The work has not been published previously, is not under consideration elsewhere, and its submission is approved by both authors. We have declared the use of generative AI in the manuscript and on the title page.</w:t>
      </w:r>
    </w:p>
    <w:p>
      <w:pPr>
        <w:pStyle w:val="BodyText"/>
      </w:pPr>
      <w:r>
        <w:t xml:space="preserve">Yours sincerely,</w:t>
      </w:r>
    </w:p>
    <w:p>
      <w:pPr>
        <w:pStyle w:val="BodyText"/>
      </w:pPr>
      <w:r>
        <w:t xml:space="preserve">Quang-Vinh Dang (corresponding author), British University Vietnam, vinh.dq4@buv.edu.vn</w:t>
      </w:r>
    </w:p>
    <w:p>
      <w:pPr>
        <w:pStyle w:val="BodyText"/>
      </w:pPr>
      <w:r>
        <w:t xml:space="preserve">Thi-Hong-Hanh Nguyen, Banking Academy of Vietnam, hanh.nth1@hvnh.edu.vn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2026-10-19T22:40:46Z</dcterms:created>
  <dcterms:modified xsi:type="dcterms:W3CDTF">2026-10-19T22:40:46Z</dcterms:modified>
</cp:coreProperties>
</file>

<file path=docProps/custom.xml><?xml version="1.0" encoding="utf-8"?>
<Properties xmlns="http://schemas.openxmlformats.org/officeDocument/2006/custom-properties" xmlns:vt="http://schemas.openxmlformats.org/officeDocument/2006/docPropsVTypes"/>
</file>