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Coded 29 AI-related incentive instruments in four Southeast Asian countries</w:t>
      </w:r>
    </w:p>
    <w:p>
      <w:pPr>
        <w:numPr>
          <w:ilvl w:val="0"/>
          <w:numId w:val="1001"/>
        </w:numPr>
        <w:pStyle w:val="Compact"/>
      </w:pPr>
      <w:r>
        <w:t xml:space="preserve">Four distinct incentive architectures govern entry to the AI compute stack</w:t>
      </w:r>
    </w:p>
    <w:p>
      <w:pPr>
        <w:numPr>
          <w:ilvl w:val="0"/>
          <w:numId w:val="1001"/>
        </w:numPr>
        <w:pStyle w:val="Compact"/>
      </w:pPr>
      <w:r>
        <w:t xml:space="preserve">Thailand’s compute gates sit one order or less above viable provider scale</w:t>
      </w:r>
    </w:p>
    <w:p>
      <w:pPr>
        <w:numPr>
          <w:ilvl w:val="0"/>
          <w:numId w:val="1001"/>
        </w:numPr>
        <w:pStyle w:val="Compact"/>
      </w:pPr>
      <w:r>
        <w:t xml:space="preserve">Small cloud providers face fixed compliance costs, not capital thresholds</w:t>
      </w:r>
    </w:p>
    <w:p>
      <w:pPr>
        <w:numPr>
          <w:ilvl w:val="0"/>
          <w:numId w:val="1001"/>
        </w:numPr>
        <w:pStyle w:val="Compact"/>
      </w:pPr>
      <w:r>
        <w:t xml:space="preserve">No instrument targets compute provision below facility scale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cp:keywords/>
  <dcterms:created xsi:type="dcterms:W3CDTF">2026-10-19T22:40:46Z</dcterms:created>
  <dcterms:modified xsi:type="dcterms:W3CDTF">2026-10-19T22:40:46Z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