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7,830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Thi-Hong-Hanh Nguyen, Banking Academy of Vietnam, Hanoi, Vietnam. hanh.nth1@hvnh.edu.vn. [ORCID optional: add if available.]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(147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details:</w:t>
      </w:r>
      <w:r>
        <w:t xml:space="preserve"> </w:t>
      </w:r>
      <w:r>
        <w:t xml:space="preserve">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statement:</w:t>
      </w:r>
      <w:r>
        <w:t xml:space="preserve"> </w:t>
      </w:r>
      <w:r>
        <w:t xml:space="preserve">The authors report there are no competing interests to declare.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The authors used generative AI to polish the writing of this manuscript and, as a blind second coder, to check the coding of legal instruments (Section 3.2). The authors reviewed and edited the text and take full responsibility for the content. [AUTHORS TO CONFIRM that this covers every use, including any help with reading sources, searching, coding or drafting, and name the tool if the journal asks.]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S6)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S6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2026-10-17T22:23:45Z</dcterms:created>
  <dcterms:modified xsi:type="dcterms:W3CDTF">2026-10-17T22:23:45Z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