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p>
      <w:pPr>
        <w:pStyle w:val="FirstParagraph"/>
      </w:pPr>
      <w:r>
        <w:rPr>
          <w:bCs/>
          <w:b/>
        </w:rPr>
        <w:t xml:space="preserve">Quang-Vinh Dang</w:t>
      </w:r>
      <w:r>
        <w:t xml:space="preserve">¹ and</w:t>
      </w:r>
      <w:r>
        <w:t xml:space="preserve"> </w:t>
      </w:r>
      <w:r>
        <w:rPr>
          <w:bCs/>
          <w:b/>
        </w:rPr>
        <w:t xml:space="preserve">Thi-Hong-Hanh Nguyen</w:t>
      </w:r>
      <w:r>
        <w:t xml:space="preserve">²</w:t>
      </w:r>
    </w:p>
    <w:p>
      <w:pPr>
        <w:pStyle w:val="BodyText"/>
      </w:pPr>
      <w:r>
        <w:t xml:space="preserve">¹ British University Vietnam, Hung Yen, Vietnam. ORCID: 0000-0002-3877-8024</w:t>
      </w:r>
    </w:p>
    <w:p>
      <w:pPr>
        <w:pStyle w:val="BodyText"/>
      </w:pPr>
      <w:r>
        <w:t xml:space="preserve">² Banking Academy of Vietnam, Hanoi, Vietnam</w:t>
      </w:r>
    </w:p>
    <w:p>
      <w:pPr>
        <w:pStyle w:val="BodyText"/>
      </w:pPr>
      <w:r>
        <w:t xml:space="preserve">Corresponding author: Quang-Vinh Dang, vinh.dq4@buv.edu.vn</w:t>
      </w:r>
    </w:p>
    <w:p>
      <w:pPr>
        <w:pStyle w:val="BodyText"/>
      </w:pPr>
      <w:r>
        <w:t xml:space="preserve">Co-author email: hanh.nth1@hvnh.edu.vn</w:t>
      </w:r>
    </w:p>
    <w:p>
      <w:pPr>
        <w:pStyle w:val="BodyText"/>
      </w:pPr>
      <w:r>
        <w:t xml:space="preserve">Word count: 7,830 (including abstract, tables, figure caption, references and declarations)</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and place their capital thresholds on a common cost scale. The four systems use four architectures: capital gates, parallel tracks, a strategic-technology list and activity tiers. All make application-layer support accessible to small firms. At the compute layers, Thailand’s gates lie two to three orders of magnitude above the capital to host one server, but about one order or less above the fleet a viability benchmark finds workable. Where small cloud providers can enter, the screen is a fixed compliance cost. No instrument targets provision below facility scale. The evidence concerns legal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commercialisation-ready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8"/>
    <w:bookmarkStart w:id="49" w:name="funding"/>
    <w:p>
      <w:pPr>
        <w:pStyle w:val="Heading2"/>
      </w:pPr>
      <w:r>
        <w:t xml:space="preserve">Funding</w:t>
      </w:r>
    </w:p>
    <w:p>
      <w:pPr>
        <w:pStyle w:val="FirstParagraph"/>
      </w:pPr>
      <w:r>
        <w:t xml:space="preserve">No funding was obtained for the reported work.</w:t>
      </w:r>
    </w:p>
    <w:bookmarkEnd w:id="49"/>
    <w:bookmarkStart w:id="50" w:name="declaration-of-generative-ai-use"/>
    <w:p>
      <w:pPr>
        <w:pStyle w:val="Heading2"/>
      </w:pPr>
      <w:r>
        <w:t xml:space="preserve">Declaration of generative AI use</w:t>
      </w:r>
    </w:p>
    <w:p>
      <w:pPr>
        <w:pStyle w:val="FirstParagraph"/>
      </w:pPr>
      <w:r>
        <w:t xml:space="preserve">The authors used generative AI to polish the writing of this manuscript and, as a blind second coder, to check the coding of legal instruments (Section 3.2). The authors reviewed and edited the text and take full responsibility for the content.</w:t>
      </w:r>
    </w:p>
    <w:bookmarkEnd w:id="50"/>
    <w:bookmarkStart w:id="51"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1"/>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2026-10-17T22:23:45Z</dcterms:created>
  <dcterms:modified xsi:type="dcterms:W3CDTF">2026-10-17T22:23:45Z</dcterms:modified>
</cp:coreProperties>
</file>

<file path=docProps/custom.xml><?xml version="1.0" encoding="utf-8"?>
<Properties xmlns="http://schemas.openxmlformats.org/officeDocument/2006/custom-properties" xmlns:vt="http://schemas.openxmlformats.org/officeDocument/2006/docPropsVTypes"/>
</file>