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letter</w:t>
      </w:r>
    </w:p>
    <w:p>
      <w:pPr>
        <w:pStyle w:val="FirstParagraph"/>
      </w:pPr>
      <w:r>
        <w:t xml:space="preserve">Dear Editors,</w:t>
      </w:r>
    </w:p>
    <w:p>
      <w:pPr>
        <w:pStyle w:val="BodyText"/>
      </w:pPr>
      <w:r>
        <w:t xml:space="preserve">We submit</w:t>
      </w:r>
      <w:r>
        <w:t xml:space="preserve"> </w:t>
      </w:r>
      <w:r>
        <w:t xml:space="preserve">“</w:t>
      </w:r>
      <w:r>
        <w:t xml:space="preserve">Where the Screen Falls: Incentive Architecture and Domestic Firms’ Entry into the AI Stack in Southeast Asia</w:t>
      </w:r>
      <w:r>
        <w:t xml:space="preserve">”</w:t>
      </w:r>
      <w:r>
        <w:t xml:space="preserve"> </w:t>
      </w:r>
      <w:r>
        <w:t xml:space="preserve">for consideration as an article in</w:t>
      </w:r>
      <w:r>
        <w:t xml:space="preserve"> </w:t>
      </w:r>
      <w:r>
        <w:rPr>
          <w:iCs/>
          <w:i/>
        </w:rPr>
        <w:t xml:space="preserve">Development Policy Review</w:t>
      </w:r>
      <w:r>
        <w:t xml:space="preserve">.</w:t>
      </w:r>
    </w:p>
    <w:p>
      <w:pPr>
        <w:pStyle w:val="BodyText"/>
      </w:pPr>
      <w:r>
        <w:t xml:space="preserve">Governments in Malaysia, the Philippines, Thailand and Vietnam have written artificial intelligence (AI) into their investment incentive systems, but no study has examined which domestic firms those rules admit to the AI stack. Whether smaller domestic firms can supply AI computing, and not only use it, bears on the move from middle to high income. We code 29 incentive instruments from the primary legal texts, place their capital thresholds on a common cost scale, and ask whether cost, scale-favouring design or administrative habit better explains the pattern.</w:t>
      </w:r>
    </w:p>
    <w:p>
      <w:pPr>
        <w:pStyle w:val="BodyText"/>
      </w:pPr>
      <w:r>
        <w:t xml:space="preserve">The findings are relevant to policy. The four countries use four different architectures. All make application-layer support accessible to small firms. At the compute layers, Thailand’s gates lie two to three orders of magnitude above the capital needed to host one server, but about one order or less above the fleet a viability benchmark finds workable. Where small cloud providers can enter, the screen is a fixed compliance cost, and no instrument targets provision below facility scale. We draw practical implications for governments: audit which instruments a small compute provider could use, lower fixed certification and audit costs, and collect data on prices and take-up by firm size before changing thresholds. We are explicit about limits: the paper studies legal eligibility, not realized access, and does not claim to show a middle-technology trap.</w:t>
      </w:r>
    </w:p>
    <w:p>
      <w:pPr>
        <w:pStyle w:val="BodyText"/>
      </w:pPr>
      <w:r>
        <w:t xml:space="preserve">The paper falls within the journal’s scope on trade and investment, structural reforms, green growth and economic transformation, and MSMEs. It is 7,240 words excluding the abstract and references, and the abstract follows the structured format. The paper is original, has not been published before (including as a working paper) and is not under consideration elsewhere. Both authors have approved the submission. We have disclosed the use of generative AI in the acknowledgements. Supporting Information (Tables S1 to S6) is provided as a separate file.</w:t>
      </w:r>
    </w:p>
    <w:p>
      <w:pPr>
        <w:pStyle w:val="BodyText"/>
      </w:pPr>
      <w:r>
        <w:t xml:space="preserve">Yours sincerely,</w:t>
      </w:r>
    </w:p>
    <w:p>
      <w:pPr>
        <w:pStyle w:val="BodyText"/>
      </w:pPr>
      <w:r>
        <w:t xml:space="preserve">Quang-Vinh Dang (corresponding author), British University Vietnam, vinh.dq4@buv.edu.vn</w:t>
      </w:r>
    </w:p>
    <w:p>
      <w:pPr>
        <w:pStyle w:val="BodyText"/>
      </w:pPr>
      <w:r>
        <w:t xml:space="preserve">Thi-Hong-Hanh Nguyen, Banking Academy of Vietnam, hanh.nth1@hvnh.edu.vn</w:t>
      </w:r>
    </w:p>
    <w:sectPr>
      <w:pgMar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2026-10-17T22:23:46Z</dcterms:created>
  <dcterms:modified xsi:type="dcterms:W3CDTF">2026-10-17T22:23:46Z</dcterms:modified>
</cp:coreProperties>
</file>

<file path=docProps/custom.xml><?xml version="1.0" encoding="utf-8"?>
<Properties xmlns="http://schemas.openxmlformats.org/officeDocument/2006/custom-properties" xmlns:vt="http://schemas.openxmlformats.org/officeDocument/2006/docPropsVTypes"/>
</file>