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Submission</w:t>
      </w:r>
      <w:r>
        <w:t xml:space="preserve"> </w:t>
      </w:r>
      <w:r>
        <w:t xml:space="preserve">email</w:t>
      </w:r>
      <w:r>
        <w:t xml:space="preserve"> </w:t>
      </w:r>
      <w:r>
        <w:t xml:space="preserve">and</w:t>
      </w:r>
      <w:r>
        <w:t xml:space="preserve"> </w:t>
      </w:r>
      <w:r>
        <w:t xml:space="preserve">cover</w:t>
      </w:r>
      <w:r>
        <w:t xml:space="preserve"> </w:t>
      </w:r>
      <w:r>
        <w:t xml:space="preserve">letter</w:t>
      </w:r>
    </w:p>
    <w:p>
      <w:pPr>
        <w:pStyle w:val="FirstParagraph"/>
      </w:pPr>
      <w:r>
        <w:rPr>
          <w:bCs/>
          <w:b/>
        </w:rPr>
        <w:t xml:space="preserve">To:</w:t>
      </w:r>
      <w:r>
        <w:t xml:space="preserve"> </w:t>
      </w:r>
      <w:r>
        <w:t xml:space="preserve">tncj@unctad.org</w:t>
      </w:r>
    </w:p>
    <w:p>
      <w:pPr>
        <w:pStyle w:val="BodyText"/>
      </w:pPr>
      <w:r>
        <w:rPr>
          <w:bCs/>
          <w:b/>
        </w:rPr>
        <w:t xml:space="preserve">Subject:</w:t>
      </w:r>
      <w:r>
        <w:t xml:space="preserve"> </w:t>
      </w:r>
      <w:r>
        <w:t xml:space="preserve">Submission to Transnational Corporations:</w:t>
      </w:r>
      <w:r>
        <w:t xml:space="preserve"> </w:t>
      </w:r>
      <w:r>
        <w:t xml:space="preserve">“</w:t>
      </w:r>
      <w:r>
        <w:t xml:space="preserve">Entry Barriers in AI Investment Incentives: An Index and Evidence from Four Southeast Asian Economies</w:t>
      </w:r>
      <w:r>
        <w:t xml:space="preserve">”</w:t>
      </w:r>
    </w:p>
    <w:p>
      <w:pPr>
        <w:pStyle w:val="BodyText"/>
      </w:pPr>
      <w:r>
        <w:rPr>
          <w:bCs/>
          <w:b/>
        </w:rPr>
        <w:t xml:space="preserve">Attachments:</w:t>
      </w:r>
      <w:r>
        <w:t xml:space="preserve"> </w:t>
      </w:r>
      <w:r>
        <w:t xml:space="preserve">manuscript (anonymized, Word), title page (Word), supplementary material (Word)</w:t>
      </w:r>
    </w:p>
    <w:p>
      <w:pPr>
        <w:pStyle w:val="BodyText"/>
      </w:pPr>
      <w:r>
        <w:t xml:space="preserve">Dear Editors,</w:t>
      </w:r>
    </w:p>
    <w:p>
      <w:pPr>
        <w:pStyle w:val="BodyText"/>
      </w:pPr>
      <w:r>
        <w:t xml:space="preserve">We submit</w:t>
      </w:r>
      <w:r>
        <w:t xml:space="preserve"> </w:t>
      </w:r>
      <w:r>
        <w:t xml:space="preserve">“</w:t>
      </w:r>
      <w:r>
        <w:t xml:space="preserve">Entry Barriers in AI Investment Incentives: An Index and Evidence from Four Southeast Asian Economies</w:t>
      </w:r>
      <w:r>
        <w:t xml:space="preserve">”</w:t>
      </w:r>
      <w:r>
        <w:t xml:space="preserve"> </w:t>
      </w:r>
      <w:r>
        <w:t xml:space="preserve">for consideration as an original research paper in</w:t>
      </w:r>
      <w:r>
        <w:t xml:space="preserve"> </w:t>
      </w:r>
      <w:r>
        <w:rPr>
          <w:iCs/>
          <w:i/>
        </w:rPr>
        <w:t xml:space="preserve">Transnational Corporations</w:t>
      </w:r>
      <w:r>
        <w:t xml:space="preserve">.</w:t>
      </w:r>
    </w:p>
    <w:p>
      <w:pPr>
        <w:pStyle w:val="BodyText"/>
      </w:pPr>
      <w:r>
        <w:t xml:space="preserve">Host governments use investment incentives to attract foreign investors, and artificial intelligence (AI) infrastructure, from cloud services to data-centre capacity, is now a prime target. The eligibility rules of an incentive scheme decide which firms, foreign or domestic, can enter, yet there is no systematic, measurable comparison of these rules across the layers of the AI stack. We code 29 instruments from the primary legal texts of Malaysia, the Philippines, Thailand and Viet Nam and build a transparent index of entry barriers for 11 routes. We test a viability assumption for small providers and check the index against Thai approval statistics, a public dataset of GPU clusters, project records and UNCTAD’s investment data, using predictions we recorded before analysing the outcome data.</w:t>
      </w:r>
    </w:p>
    <w:p>
      <w:pPr>
        <w:pStyle w:val="BodyText"/>
      </w:pPr>
      <w:r>
        <w:t xml:space="preserve">The main findings are these. Barriers at facility scale are high only in Thailand and Malaysia, and no system targets providers below that scale. In Thailand, project size rises and the Thai-held share of capital falls with the index, except on the cloud route, where Thai-owned GPU clusters of about 1 MW operate without meeting a capital gate. Countries with lower entry-route barriers attract more announced digital investment, but barriers on the data-centre route do not predict data-centre investment: Malaysia has the highest barrier and the most investment. The implication for investment promotion is that capital gates sit near the scale at which foreign hyperscale projects occur, so that the fixed compliance costs on low-capital routes are the screen for smaller and domestic providers. The paper is explicit that its evidence is small-sample and descriptive.</w:t>
      </w:r>
    </w:p>
    <w:p>
      <w:pPr>
        <w:pStyle w:val="BodyText"/>
      </w:pPr>
      <w:r>
        <w:t xml:space="preserve">We think the paper fits the journal because it concerns investment policy and its effect on the entry of foreign and domestic firms in a strategic, digital industry, and it uses UNCTAD data. The manuscript is within the 10,000-word limit including all elements, with an abstract of under 150 words, keywords and JEL codes. The main text does not identify the authors, whose details are in the title page.</w:t>
      </w:r>
    </w:p>
    <w:p>
      <w:pPr>
        <w:pStyle w:val="BodyText"/>
      </w:pPr>
      <w:r>
        <w:t xml:space="preserve">We confirm that the manuscript has not been published or submitted elsewhere and will not be until the editorial process ends or it is withdrawn. The authors have no conflict of interest and received no funding. We disclose the use of generative AI (Claude, Anthropic) for drafting, editing and formatting, for collecting public project records and as a blind second coder of the legal instruments, with all content reviewed and edited by the authors, who take full responsibility.</w:t>
      </w:r>
    </w:p>
    <w:p>
      <w:pPr>
        <w:pStyle w:val="BodyText"/>
      </w:pPr>
      <w:r>
        <w:t xml:space="preserve">Yours sincerely,</w:t>
      </w:r>
    </w:p>
    <w:p>
      <w:pPr>
        <w:pStyle w:val="BodyText"/>
      </w:pPr>
      <w:r>
        <w:t xml:space="preserve">Quang-Vinh Dang (corresponding author), British University Vietnam, vinh.dq4@buv.edu.vn</w:t>
      </w:r>
    </w:p>
    <w:p>
      <w:pPr>
        <w:pStyle w:val="BodyText"/>
      </w:pPr>
      <w:r>
        <w:t xml:space="preserve">Thi-Hong-Hanh Nguyen, Banking Academy of Viet Nam, hanh.nth1@hvnh.edu.vn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2"/>
    </w:rPr>
  </w:style>
  <w:style w:styleId="BodyText" w:type="paragraph">
    <w:name w:val="Body Text"/>
    <w:basedOn w:val="Normal"/>
    <w:link w:val="BodyTextChar"/>
    <w:pPr>
      <w:spacing w:after="180" w:before="180"/>
    </w:pPr>
    <w:qFormat/>
    <w:rPr>
      <w:rFonts w:ascii="Times New Roman" w:hAnsi="Times New Roman" w:cs="Times New Roman" w:eastAsia="Times New Roman"/>
      <w:color w:val="000000"/>
      <w:sz w:val="22"/>
    </w:rPr>
  </w:style>
  <w:style w:customStyle="1" w:styleId="FirstParagraph" w:type="paragraph">
    <w:name w:val="First Paragraph"/>
    <w:basedOn w:val="BodyText"/>
    <w:next w:val="BodyText"/>
    <w:qFormat/>
    <w:rPr>
      <w:rFonts w:ascii="Times New Roman" w:hAnsi="Times New Roman" w:cs="Times New Roman" w:eastAsia="Times New Roman"/>
      <w:color w:val="000000"/>
      <w:sz w:val="22"/>
    </w:rPr>
  </w:style>
  <w:style w:customStyle="1" w:styleId="Compact" w:type="paragraph">
    <w:name w:val="Compact"/>
    <w:basedOn w:val="BodyText"/>
    <w:qFormat/>
    <w:pPr>
      <w:spacing w:after="36" w:before="36"/>
    </w:pPr>
    <w:rPr>
      <w:rFonts w:ascii="Times New Roman" w:hAnsi="Times New Roman" w:cs="Times New Roman" w:eastAsia="Times New Roman"/>
      <w:color w:val="000000"/>
      <w:sz w:val="22"/>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color w:val="000000"/>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color w:val="000000"/>
    </w:rPr>
  </w:style>
  <w:style w:styleId="Date" w:type="paragraph">
    <w:name w:val="Date"/>
    <w:next w:val="BodyText"/>
    <w:qFormat/>
    <w:pPr>
      <w:keepNext/>
      <w:keepLines/>
      <w:jc w:val="center"/>
    </w:pPr>
    <w:rPr>
      <w:rFonts w:ascii="Times New Roman" w:hAnsi="Times New Roman" w:cs="Times New Roman" w:eastAsia="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rPr>
  </w:style>
  <w:style w:default="1" w:styleId="DefaultParagraphFont" w:type="character">
    <w:name w:val="Default Paragraph Font"/>
    <w:semiHidden/>
    <w:unhideWhenUsed/>
    <w:rPr>
      <w:rFonts w:ascii="Times New Roman" w:hAnsi="Times New Roman" w:cs="Times New Roman" w:eastAsia="Times New Roman"/>
      <w:color w:val="000000"/>
    </w:rPr>
  </w:style>
  <w:style w:default="1" w:styleId="Table" w:type="table">
    <w:name w:val="Table"/>
    <w:basedOn w:val="TableNormal"/>
    <w:semiHidden/>
    <w:unhideWhenUsed/>
    <w:qFormat/>
    <w:rPr>
      <w:rFonts w:ascii="Times New Roman" w:hAnsi="Times New Roman" w:cs="Times New Roman" w:eastAsia="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rPr>
  </w:style>
  <w:style w:customStyle="1" w:styleId="Definition" w:type="paragraph">
    <w:name w:val="Definition"/>
    <w:basedOn w:val="Normal"/>
    <w:rPr>
      <w:rFonts w:ascii="Times New Roman" w:hAnsi="Times New Roman" w:cs="Times New Roman" w:eastAsia="Times New Roman"/>
      <w:color w:val="000000"/>
    </w:rPr>
  </w:style>
  <w:style w:styleId="Caption" w:type="paragraph">
    <w:name w:val="Caption"/>
    <w:basedOn w:val="Normal"/>
    <w:link w:val="BodyTextChar"/>
    <w:pPr>
      <w:spacing w:after="120" w:before="0"/>
    </w:pPr>
    <w:rPr>
      <w:rFonts w:ascii="Times New Roman" w:hAnsi="Times New Roman" w:cs="Times New Roman" w:eastAsia="Times New Roman"/>
      <w:i/>
      <w:color w:val="000000"/>
    </w:rPr>
  </w:style>
  <w:style w:customStyle="1" w:styleId="TableCaption" w:type="paragraph">
    <w:name w:val="Table Caption"/>
    <w:basedOn w:val="Caption"/>
    <w:pPr>
      <w:keepNext/>
    </w:pPr>
    <w:rPr>
      <w:rFonts w:ascii="Times New Roman" w:hAnsi="Times New Roman" w:cs="Times New Roman" w:eastAsia="Times New Roman"/>
      <w:color w:val="000000"/>
    </w:rPr>
  </w:style>
  <w:style w:customStyle="1" w:styleId="ImageCaption" w:type="paragraph">
    <w:name w:val="Image Caption"/>
    <w:basedOn w:val="Caption"/>
    <w:rPr>
      <w:rFonts w:ascii="Times New Roman" w:hAnsi="Times New Roman" w:cs="Times New Roman" w:eastAsia="Times New Roman"/>
      <w:color w:val="000000"/>
    </w:rPr>
  </w:style>
  <w:style w:customStyle="1" w:styleId="Figure" w:type="paragraph">
    <w:name w:val="Figure"/>
    <w:basedOn w:val="Normal"/>
    <w:rPr>
      <w:rFonts w:ascii="Times New Roman" w:hAnsi="Times New Roman" w:cs="Times New Roman" w:eastAsia="Times New Roman"/>
      <w:color w:val="000000"/>
    </w:rPr>
  </w:style>
  <w:style w:customStyle="1" w:styleId="CaptionedFigure" w:type="paragraph">
    <w:name w:val="Captioned Figure"/>
    <w:basedOn w:val="Figure"/>
    <w:pPr>
      <w:keepNext/>
    </w:pPr>
    <w:rPr>
      <w:rFonts w:ascii="Times New Roman" w:hAnsi="Times New Roman" w:cs="Times New Roman" w:eastAsia="Times New Roman"/>
      <w:color w:val="000000"/>
    </w:rPr>
  </w:style>
  <w:style w:customStyle="1" w:styleId="BodyTextChar" w:type="character">
    <w:name w:val="Body Text Char"/>
    <w:basedOn w:val="DefaultParagraphFont"/>
    <w:link w:val="BodyText"/>
    <w:rPr>
      <w:rFonts w:ascii="Times New Roman" w:hAnsi="Times New Roman" w:cs="Times New Roman" w:eastAsia="Times New Roman"/>
      <w:color w:val="000000"/>
    </w:rPr>
  </w:style>
  <w:style w:customStyle="1" w:styleId="VerbatimChar" w:type="character">
    <w:name w:val="Verbatim Char"/>
    <w:basedOn w:val="BodyTextChar"/>
    <w:rPr>
      <w:rFonts w:ascii="Times New Roman" w:hAnsi="Times New Roman" w:cs="Times New Roman" w:eastAsia="Times New Roman"/>
      <w:color w:val="000000"/>
      <w:sz w:val="22"/>
    </w:rPr>
  </w:style>
  <w:style w:customStyle="1" w:styleId="SectionNumber" w:type="character">
    <w:name w:val="Section Number"/>
    <w:basedOn w:val="BodyTextChar"/>
    <w:rPr>
      <w:rFonts w:ascii="Times New Roman" w:hAnsi="Times New Roman" w:cs="Times New Roman" w:eastAsia="Times New Roman"/>
      <w:color w:val="000000"/>
    </w:rPr>
  </w:style>
  <w:style w:styleId="FootnoteReference" w:type="character">
    <w:name w:val="Footnote Reference"/>
    <w:basedOn w:val="BodyTextChar"/>
    <w:rPr>
      <w:rFonts w:ascii="Times New Roman" w:hAnsi="Times New Roman" w:cs="Times New Roman" w:eastAsia="Times New Roman"/>
      <w:color w:val="000000"/>
      <w:vertAlign w:val="superscript"/>
    </w:rPr>
  </w:style>
  <w:style w:styleId="Hyperlink" w:type="character">
    <w:name w:val="Hyperlink"/>
    <w:basedOn w:val="BodyTextChar"/>
    <w:rPr>
      <w:rFonts w:ascii="Times New Roman" w:hAnsi="Times New Roman" w:cs="Times New Roman" w:eastAsia="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000000"/>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rPr>
  </w:style>
  <w:style w:type="character" w:customStyle="1" w:styleId="KeywordTok">
    <w:name w:val="KeywordTok"/>
    <w:basedOn w:val="VerbatimChar"/>
    <w:rPr>
      <w:rFonts w:ascii="Times New Roman" w:hAnsi="Times New Roman" w:cs="Times New Roman" w:eastAsia="Times New Roman"/>
      <w:b/>
      <w:color w:val="000000"/>
    </w:rPr>
  </w:style>
  <w:style w:type="character" w:customStyle="1" w:styleId="DataTypeTok">
    <w:name w:val="DataTypeTok"/>
    <w:basedOn w:val="VerbatimChar"/>
    <w:rPr>
      <w:rFonts w:ascii="Times New Roman" w:hAnsi="Times New Roman" w:cs="Times New Roman" w:eastAsia="Times New Roman"/>
      <w:color w:val="000000"/>
    </w:rPr>
  </w:style>
  <w:style w:type="character" w:customStyle="1" w:styleId="DecValTok">
    <w:name w:val="DecValTok"/>
    <w:basedOn w:val="VerbatimChar"/>
    <w:rPr>
      <w:rFonts w:ascii="Times New Roman" w:hAnsi="Times New Roman" w:cs="Times New Roman" w:eastAsia="Times New Roman"/>
      <w:color w:val="000000"/>
    </w:rPr>
  </w:style>
  <w:style w:type="character" w:customStyle="1" w:styleId="BaseNTok">
    <w:name w:val="BaseNTok"/>
    <w:basedOn w:val="VerbatimChar"/>
    <w:rPr>
      <w:rFonts w:ascii="Times New Roman" w:hAnsi="Times New Roman" w:cs="Times New Roman" w:eastAsia="Times New Roman"/>
      <w:color w:val="000000"/>
    </w:rPr>
  </w:style>
  <w:style w:type="character" w:customStyle="1" w:styleId="FloatTok">
    <w:name w:val="FloatTok"/>
    <w:basedOn w:val="VerbatimChar"/>
    <w:rPr>
      <w:rFonts w:ascii="Times New Roman" w:hAnsi="Times New Roman" w:cs="Times New Roman" w:eastAsia="Times New Roman"/>
      <w:color w:val="000000"/>
    </w:rPr>
  </w:style>
  <w:style w:type="character" w:customStyle="1" w:styleId="ConstantTok">
    <w:name w:val="ConstantTok"/>
    <w:basedOn w:val="VerbatimChar"/>
    <w:rPr>
      <w:rFonts w:ascii="Times New Roman" w:hAnsi="Times New Roman" w:cs="Times New Roman" w:eastAsia="Times New Roman"/>
      <w:color w:val="000000"/>
    </w:rPr>
  </w:style>
  <w:style w:type="character" w:customStyle="1" w:styleId="CharTok">
    <w:name w:val="CharTok"/>
    <w:basedOn w:val="VerbatimChar"/>
    <w:rPr>
      <w:rFonts w:ascii="Times New Roman" w:hAnsi="Times New Roman" w:cs="Times New Roman" w:eastAsia="Times New Roman"/>
      <w:color w:val="000000"/>
    </w:rPr>
  </w:style>
  <w:style w:type="character" w:customStyle="1" w:styleId="SpecialCharTok">
    <w:name w:val="SpecialCharTok"/>
    <w:basedOn w:val="VerbatimChar"/>
    <w:rPr>
      <w:rFonts w:ascii="Times New Roman" w:hAnsi="Times New Roman" w:cs="Times New Roman" w:eastAsia="Times New Roman"/>
      <w:color w:val="000000"/>
    </w:rPr>
  </w:style>
  <w:style w:type="character" w:customStyle="1" w:styleId="StringTok">
    <w:name w:val="StringTok"/>
    <w:basedOn w:val="VerbatimChar"/>
    <w:rPr>
      <w:rFonts w:ascii="Times New Roman" w:hAnsi="Times New Roman" w:cs="Times New Roman" w:eastAsia="Times New Roman"/>
      <w:color w:val="000000"/>
    </w:rPr>
  </w:style>
  <w:style w:type="character" w:customStyle="1" w:styleId="VerbatimStringTok">
    <w:name w:val="VerbatimStringTok"/>
    <w:basedOn w:val="VerbatimChar"/>
    <w:rPr>
      <w:rFonts w:ascii="Times New Roman" w:hAnsi="Times New Roman" w:cs="Times New Roman" w:eastAsia="Times New Roman"/>
      <w:color w:val="000000"/>
    </w:rPr>
  </w:style>
  <w:style w:type="character" w:customStyle="1" w:styleId="SpecialStringTok">
    <w:name w:val="SpecialStringTok"/>
    <w:basedOn w:val="VerbatimChar"/>
    <w:rPr>
      <w:rFonts w:ascii="Times New Roman" w:hAnsi="Times New Roman" w:cs="Times New Roman" w:eastAsia="Times New Roman"/>
      <w:color w:val="000000"/>
    </w:rPr>
  </w:style>
  <w:style w:type="character" w:customStyle="1" w:styleId="ImportTok">
    <w:name w:val="ImportTok"/>
    <w:basedOn w:val="VerbatimChar"/>
    <w:rPr>
      <w:rFonts w:ascii="Times New Roman" w:hAnsi="Times New Roman" w:cs="Times New Roman" w:eastAsia="Times New Roman"/>
      <w:b/>
      <w:color w:val="000000"/>
    </w:rPr>
  </w:style>
  <w:style w:type="character" w:customStyle="1" w:styleId="CommentTok">
    <w:name w:val="CommentTok"/>
    <w:basedOn w:val="VerbatimChar"/>
    <w:rPr>
      <w:rFonts w:ascii="Times New Roman" w:hAnsi="Times New Roman" w:cs="Times New Roman" w:eastAsia="Times New Roman"/>
      <w:i/>
      <w:color w:val="000000"/>
    </w:rPr>
  </w:style>
  <w:style w:type="character" w:customStyle="1" w:styleId="DocumentationTok">
    <w:name w:val="DocumentationTok"/>
    <w:basedOn w:val="VerbatimChar"/>
    <w:rPr>
      <w:rFonts w:ascii="Times New Roman" w:hAnsi="Times New Roman" w:cs="Times New Roman" w:eastAsia="Times New Roman"/>
      <w:i/>
      <w:color w:val="000000"/>
    </w:rPr>
  </w:style>
  <w:style w:type="character" w:customStyle="1" w:styleId="AnnotationTok">
    <w:name w:val="AnnotationTok"/>
    <w:basedOn w:val="VerbatimChar"/>
    <w:rPr>
      <w:rFonts w:ascii="Times New Roman" w:hAnsi="Times New Roman" w:cs="Times New Roman" w:eastAsia="Times New Roman"/>
      <w:b/>
      <w:i/>
      <w:color w:val="000000"/>
    </w:rPr>
  </w:style>
  <w:style w:type="character" w:customStyle="1" w:styleId="CommentVarTok">
    <w:name w:val="CommentVarTok"/>
    <w:basedOn w:val="VerbatimChar"/>
    <w:rPr>
      <w:rFonts w:ascii="Times New Roman" w:hAnsi="Times New Roman" w:cs="Times New Roman" w:eastAsia="Times New Roman"/>
      <w:b/>
      <w:i/>
      <w:color w:val="000000"/>
    </w:rPr>
  </w:style>
  <w:style w:type="character" w:customStyle="1" w:styleId="OtherTok">
    <w:name w:val="OtherTok"/>
    <w:basedOn w:val="VerbatimChar"/>
    <w:rPr>
      <w:rFonts w:ascii="Times New Roman" w:hAnsi="Times New Roman" w:cs="Times New Roman" w:eastAsia="Times New Roman"/>
      <w:color w:val="000000"/>
    </w:rPr>
  </w:style>
  <w:style w:type="character" w:customStyle="1" w:styleId="FunctionTok">
    <w:name w:val="FunctionTok"/>
    <w:basedOn w:val="VerbatimChar"/>
    <w:rPr>
      <w:rFonts w:ascii="Times New Roman" w:hAnsi="Times New Roman" w:cs="Times New Roman" w:eastAsia="Times New Roman"/>
      <w:color w:val="000000"/>
    </w:rPr>
  </w:style>
  <w:style w:type="character" w:customStyle="1" w:styleId="VariableTok">
    <w:name w:val="VariableTok"/>
    <w:basedOn w:val="VerbatimChar"/>
    <w:rPr>
      <w:rFonts w:ascii="Times New Roman" w:hAnsi="Times New Roman" w:cs="Times New Roman" w:eastAsia="Times New Roman"/>
      <w:color w:val="000000"/>
    </w:rPr>
  </w:style>
  <w:style w:type="character" w:customStyle="1" w:styleId="ControlFlowTok">
    <w:name w:val="ControlFlowTok"/>
    <w:basedOn w:val="VerbatimChar"/>
    <w:rPr>
      <w:rFonts w:ascii="Times New Roman" w:hAnsi="Times New Roman" w:cs="Times New Roman" w:eastAsia="Times New Roman"/>
      <w:b/>
      <w:color w:val="000000"/>
    </w:rPr>
  </w:style>
  <w:style w:type="character" w:customStyle="1" w:styleId="OperatorTok">
    <w:name w:val="OperatorTok"/>
    <w:basedOn w:val="VerbatimChar"/>
    <w:rPr>
      <w:rFonts w:ascii="Times New Roman" w:hAnsi="Times New Roman" w:cs="Times New Roman" w:eastAsia="Times New Roman"/>
      <w:color w:val="000000"/>
    </w:rPr>
  </w:style>
  <w:style w:type="character" w:customStyle="1" w:styleId="BuiltInTok">
    <w:name w:val="BuiltInTok"/>
    <w:basedOn w:val="VerbatimChar"/>
    <w:rPr>
      <w:rFonts w:ascii="Times New Roman" w:hAnsi="Times New Roman" w:cs="Times New Roman" w:eastAsia="Times New Roman"/>
      <w:color w:val="000000"/>
    </w:rPr>
  </w:style>
  <w:style w:type="character" w:customStyle="1" w:styleId="ExtensionTok">
    <w:name w:val="ExtensionTok"/>
    <w:basedOn w:val="VerbatimChar"/>
    <w:rPr>
      <w:rFonts w:ascii="Times New Roman" w:hAnsi="Times New Roman" w:cs="Times New Roman" w:eastAsia="Times New Roman"/>
      <w:color w:val="000000"/>
    </w:rPr>
  </w:style>
  <w:style w:type="character" w:customStyle="1" w:styleId="PreprocessorTok">
    <w:name w:val="PreprocessorTok"/>
    <w:basedOn w:val="VerbatimChar"/>
    <w:rPr>
      <w:rFonts w:ascii="Times New Roman" w:hAnsi="Times New Roman" w:cs="Times New Roman" w:eastAsia="Times New Roman"/>
      <w:color w:val="000000"/>
    </w:rPr>
  </w:style>
  <w:style w:type="character" w:customStyle="1" w:styleId="AttributeTok">
    <w:name w:val="AttributeTok"/>
    <w:basedOn w:val="VerbatimChar"/>
    <w:rPr>
      <w:rFonts w:ascii="Times New Roman" w:hAnsi="Times New Roman" w:cs="Times New Roman" w:eastAsia="Times New Roman"/>
      <w:color w:val="000000"/>
    </w:rPr>
  </w:style>
  <w:style w:type="character" w:customStyle="1" w:styleId="RegionMarkerTok">
    <w:name w:val="RegionMarkerTok"/>
    <w:basedOn w:val="VerbatimChar"/>
    <w:rPr>
      <w:rFonts w:ascii="Times New Roman" w:hAnsi="Times New Roman" w:cs="Times New Roman" w:eastAsia="Times New Roman"/>
      <w:color w:val="000000"/>
    </w:rPr>
  </w:style>
  <w:style w:type="character" w:customStyle="1" w:styleId="InformationTok">
    <w:name w:val="InformationTok"/>
    <w:basedOn w:val="VerbatimChar"/>
    <w:rPr>
      <w:rFonts w:ascii="Times New Roman" w:hAnsi="Times New Roman" w:cs="Times New Roman" w:eastAsia="Times New Roman"/>
      <w:b/>
      <w:i/>
      <w:color w:val="000000"/>
    </w:rPr>
  </w:style>
  <w:style w:type="character" w:customStyle="1" w:styleId="WarningTok">
    <w:name w:val="WarningTok"/>
    <w:basedOn w:val="VerbatimChar"/>
    <w:rPr>
      <w:rFonts w:ascii="Times New Roman" w:hAnsi="Times New Roman" w:cs="Times New Roman" w:eastAsia="Times New Roman"/>
      <w:b/>
      <w:i/>
      <w:color w:val="000000"/>
    </w:rPr>
  </w:style>
  <w:style w:type="character" w:customStyle="1" w:styleId="AlertTok">
    <w:name w:val="AlertTok"/>
    <w:basedOn w:val="VerbatimChar"/>
    <w:rPr>
      <w:rFonts w:ascii="Times New Roman" w:hAnsi="Times New Roman" w:cs="Times New Roman" w:eastAsia="Times New Roman"/>
      <w:b/>
      <w:color w:val="000000"/>
    </w:rPr>
  </w:style>
  <w:style w:type="character" w:customStyle="1" w:styleId="ErrorTok">
    <w:name w:val="ErrorTok"/>
    <w:basedOn w:val="VerbatimChar"/>
    <w:rPr>
      <w:rFonts w:ascii="Times New Roman" w:hAnsi="Times New Roman" w:cs="Times New Roman" w:eastAsia="Times New Roman"/>
      <w:b/>
      <w:color w:val="000000"/>
    </w:rPr>
  </w:style>
  <w:style w:type="character" w:customStyle="1" w:styleId="NormalTok">
    <w:name w:val="NormalTok"/>
    <w:basedOn w:val="VerbatimChar"/>
    <w:rPr>
      <w:rFonts w:ascii="Times New Roman" w:hAnsi="Times New Roman" w:cs="Times New Roman" w:eastAsia="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email and cover letter</dc:title>
  <dc:creator/>
  <cp:keywords/>
  <dcterms:created xsi:type="dcterms:W3CDTF">2026-10-26T04:09:17Z</dcterms:created>
  <dcterms:modified xsi:type="dcterms:W3CDTF">2026-10-26T04:09:17Z</dcterms:modified>
</cp:coreProperties>
</file>

<file path=docProps/custom.xml><?xml version="1.0" encoding="utf-8"?>
<Properties xmlns="http://schemas.openxmlformats.org/officeDocument/2006/custom-properties" xmlns:vt="http://schemas.openxmlformats.org/officeDocument/2006/docPropsVTypes"/>
</file>