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Incentive</w:t>
      </w:r>
      <w:r>
        <w:t xml:space="preserve"> </w:t>
      </w:r>
      <w:r>
        <w:t xml:space="preserve">Design</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Evidence</w:t>
      </w:r>
      <w:r>
        <w:t xml:space="preserve"> </w:t>
      </w:r>
      <w:r>
        <w:t xml:space="preserve">from</w:t>
      </w:r>
      <w:r>
        <w:t xml:space="preserve"> </w:t>
      </w:r>
      <w:r>
        <w:t xml:space="preserve">Thailand,</w:t>
      </w:r>
      <w:r>
        <w:t xml:space="preserve"> </w:t>
      </w:r>
      <w:r>
        <w:t xml:space="preserve">Vietnam,</w:t>
      </w:r>
      <w:r>
        <w:t xml:space="preserve"> </w:t>
      </w:r>
      <w:r>
        <w:t xml:space="preserve">Malaysia</w:t>
      </w:r>
      <w:r>
        <w:t xml:space="preserve"> </w:t>
      </w:r>
      <w:r>
        <w:t xml:space="preserve">and</w:t>
      </w:r>
      <w:r>
        <w:t xml:space="preserve"> </w:t>
      </w:r>
      <w:r>
        <w:t xml:space="preserve">the</w:t>
      </w:r>
      <w:r>
        <w:t xml:space="preserve"> </w:t>
      </w:r>
      <w:r>
        <w:t xml:space="preserve">Philippines</w:t>
      </w:r>
    </w:p>
    <w:p>
      <w:pPr>
        <w:pStyle w:val="FirstParagraph"/>
      </w:pPr>
      <w:r>
        <w:rPr>
          <w:bCs/>
          <w:b/>
        </w:rPr>
        <w:t xml:space="preserve">[DRAFT FOR AUTHOR REVIEW. Items marked PENDING need data or confirmation that only the authors can supply. Items marked CITATION NEEDED or VERIFY need a source check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w:t>
      </w:r>
    </w:p>
    <w:bookmarkStart w:id="20" w:name="abstract"/>
    <w:p>
      <w:pPr>
        <w:pStyle w:val="Heading2"/>
      </w:pPr>
      <w:r>
        <w:t xml:space="preserve">Abstract</w:t>
      </w:r>
    </w:p>
    <w:p>
      <w:pPr>
        <w:pStyle w:val="FirstParagraph"/>
      </w:pPr>
      <w:r>
        <w:t xml:space="preserve">Governments in Southeast Asia have made artificial intelligence (AI) a pillar of industrial policy, but little is known about which firms their incentive instruments allow in. We ask how the eligibility rules of AI-related investment incentives in Thailand, Vietnam, Malaysia and the Philippines shape entry into four layers of the AI technology stack (applications and models, cloud and compute services, data-centre capacity, hardware), and whether the pattern is better explained by cost necessity, scale-favouring design or administrative habit. We code about 20 instruments from primary legal texts on five dimensions and, for Thailand, compare eligibility rules with published project approvals. All four countries make application-layer support accessible to small firms. Thailand and Malaysia put the main barrier at data-centre capacity, Vietnam puts its boundary at hardware manufacture, and the Philippines applies scale tiers regardless of activity. We found no AI-related instrument for compute provision below facility scale in any of the four. Published cost benchmarks explain the height of infrastructure thresholds but not this gap. The evidence describes legal eligibility, not realised access, and does not show that a middle-technology trap exists. It locates a specific design gap that firm-level studies can test.</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puts this requirement under a new test. Thailand, Vietnam, Malaysia and the Philippines have each written AI into their investment incentive systems, and each offers tax or other support to firms that meet stated eligibility rules. Those rules decide which firms can take part in which part of the AI industry. A rule that a firm must hold several hundred million dollars in capital, or must already earn taxable profit, admits some firms and excludes others, whatever the size of the budget behind it. Yet the existing literature measures how much governments spend or announce, not who can qualify.</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How do eligibility rules differ across four layers of the AI technology stack, along three dimensions of accessibility: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Does any AI-related instrument address compute provision below the scale of a full data-centre facility, the scale at which a small domestic firm could realistically start?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main results are as follows. All four countries make application-layer support accessible to small firms, and Vietnam adds an explicit startup track with direct equity access. The boundary above the application layer falls in different places: at data-centre capacity in Thailand (a single capital cutoff) and Malaysia (a graduated scale), at hardware manufacture in Vietnam, and nowhere by activity in the Philippines, which applies firm-scale tiers uniformly. The regularity common to all four is an absence: we found no AI-related instrument aimed at compute provision below facility scale. Cost benchmarks account for the height of the infrastructure thresholds (the most visible pattern, and a weak test of design bias, as we show in Section 3.4) but not for this absence. We emphasise three limits at the outset. The evidence concerns legal eligibility, not realised access or firm outcomes. The coding has not yet been checked by a second coder. And the data do not show that any of the four countries is in a middle-technology trap.</w:t>
      </w:r>
    </w:p>
    <w:p>
      <w:pPr>
        <w:pStyle w:val="BodyText"/>
      </w:pPr>
      <w:r>
        <w:t xml:space="preserve">The paper makes three contributions. First, it provides a four-layer coding of AI incentive instruments that distinguishes layer, scale and firm vintage, which a software-versus-hardware split cannot do. Second, it identifies a specific design gap, the absence of instruments below facility scale, and tests it against the best available cost-based explanation. Third, it sets out an evidence matrix that separates the observations that discriminate between explanations from those that do not, so that readers can see which claims rest on which evidence.</w:t>
      </w:r>
    </w:p>
    <w:p>
      <w:pPr>
        <w:pStyle w:val="BodyText"/>
      </w:pPr>
      <w:r>
        <w:t xml:space="preserve">The rest of the paper is organised as follows. Section 2 relates the middle-income and middle-technology traps, reviews the AI literature, and derives the hypotheses. Section 3 describes the design. Section 4 reports the findings by country and across countries. Section 5 assesses the explanations. Section 6 draws policy implications and Section 7 states the limitations. Section 8 concludes.</w:t>
      </w:r>
    </w:p>
    <w:p>
      <w:pPr>
        <w:pStyle w:val="BodyText"/>
      </w:pPr>
      <w:r>
        <w:t xml:space="preserve">The reclassification of Vietnam and the Philippines as upper-middle-income economies on 1 July 2026 gives the question topical weight (Ang, 2026), but the case for the study does not rest on it. It rests on the fact that no existing study maps, instrument by instrument, who can enter the AI industry under the rules these governments have written.</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The two traps are related but not equivalent. We treat the middle-technology trap as one proximate mechanism through which a middle-income trap can persist: if domestic firms cannot move into the technology layers that carry rising returns, total factor productivity growth stalls. The relation does not run the other way, since a country can be income-trapped for institutional reasons without being technologically trapped, and a high-income country such as Japan can be technologically trapped without being income-trapped. We follow the second lineage because it identifies a domestically generated mechanism, incentive design, that requires no foreign actor to operate. We also record the political-economy account of Doner and Schneider (2016), who argue that the trap reflects coalition failure, with business fragmented along cleavages such as firm size and foreign versus domestic ownership. Our analysis does not test coalitions, but their argument tells us what ownership patterns could and could not mean (Section 5.2).</w:t>
      </w:r>
    </w:p>
    <w:p>
      <w:pPr>
        <w:pStyle w:val="BodyText"/>
      </w:pPr>
      <w:r>
        <w:rPr>
          <w:bCs/>
          <w:b/>
        </w:rPr>
        <w:t xml:space="preserve">Operational definition.</w:t>
      </w:r>
      <w:r>
        <w:t xml:space="preserve"> </w:t>
      </w:r>
      <w:r>
        <w:t xml:space="preserve">This paper does not measure a trap. It defines an</w:t>
      </w:r>
      <w:r>
        <w:t xml:space="preserve"> </w:t>
      </w:r>
      <w:r>
        <w:rPr>
          <w:iCs/>
          <w:i/>
        </w:rPr>
        <w:t xml:space="preserve">AI-era middle-technology trap risk</w:t>
      </w:r>
      <w:r>
        <w:t xml:space="preserve"> </w:t>
      </w:r>
      <w:r>
        <w:t xml:space="preserve">as a condition in which the instruments supporting AI let domestic firms enter only the application layer, while the layers that supply compute are reachable only by firms already holding very large capital. We observe three indicators: (a) an eligibility asymmetry across layers, (b) the absence of intermediate-entry instruments, and (c) ownership concentration in approved projects where data exist. These indicators describe an opportunity structure. Whether it turns into a trap depends on firm behaviour and outcomes we do not observe.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What is missing is an instrument-level account of eligibility across the AI stack in middle-income economies. That is the gap this paper addresses. Because the macro literature turns on whether domestic firms can enter the layers that supply compute, entry rules are the right object of study.</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A country can treat layer (ii) as generously as layer (i) while restricting layer (iii), or can prioritise (i) and (ii) while relegating (iv). A binary split would classify these as the same. We use the layers to organise the empirical sections: each country is described layer by layer, and Table 3 sets the countries side by side.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 and records use-side instruments where they appear</w:t>
      </w:r>
      <w:r>
        <w:t xml:space="preserve"> </w:t>
      </w:r>
      <w:r>
        <w:rPr>
          <w:bCs/>
          <w:b/>
        </w:rPr>
        <w:t xml:space="preserve">[PENDING: use-side instruments such as compute vouchers are not yet systematically coded; see Section 3.3]</w:t>
      </w:r>
      <w:r>
        <w:t xml:space="preserve">.</w:t>
      </w:r>
    </w:p>
    <w:bookmarkEnd w:id="25"/>
    <w:bookmarkStart w:id="26" w:name="Xb2d60a2a59b2d84ca46f154a28b9fd1d06b84a8"/>
    <w:p>
      <w:pPr>
        <w:pStyle w:val="Heading3"/>
      </w:pPr>
      <w:r>
        <w:t xml:space="preserve">2.5 Three dimensions of accessibility, and three explanations</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Three explanations of the observed patterns follow from the literature, and each makes predictions on these dimensions.</w:t>
      </w:r>
    </w:p>
    <w:p>
      <w:pPr>
        <w:numPr>
          <w:ilvl w:val="0"/>
          <w:numId w:val="1003"/>
        </w:numPr>
        <w:pStyle w:val="Compact"/>
      </w:pPr>
      <w:r>
        <w:rPr>
          <w:bCs/>
          <w:b/>
        </w:rPr>
        <w:t xml:space="preserve">H1, cost necessity.</w:t>
      </w:r>
      <w:r>
        <w:t xml:space="preserve"> </w:t>
      </w:r>
      <w:r>
        <w:t xml:space="preserve">Thresholds follow the capital intensity of each layer. It predicts that threshold height rises with layer capital intensity (P1a), that instruments are absent below a layer’s minimum viable scale (P1b), and that eligibility does not depend on vintage (P1c). Note that P1b holds only under an auxiliary assumption, that a smaller viable scale of provision does not exist. We examine that assumption in Section 5.1.</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It predicts missing intermediate tiers where a smaller viable scale exists (P2a), and instruments that presuppose profit, revenue or fixed compliance cost even in layers with low capital needs (P2b). This is the mechanism Bahar et al. (2026) identify for Japan.</w:t>
      </w:r>
    </w:p>
    <w:p>
      <w:pPr>
        <w:numPr>
          <w:ilvl w:val="0"/>
          <w:numId w:val="1003"/>
        </w:numPr>
        <w:pStyle w:val="Compact"/>
      </w:pPr>
      <w:r>
        <w:rPr>
          <w:bCs/>
          <w:b/>
        </w:rPr>
        <w:t xml:space="preserve">H3, administrative habit.</w:t>
      </w:r>
      <w:r>
        <w:t xml:space="preserve"> </w:t>
      </w:r>
      <w:r>
        <w:t xml:space="preserve">Instruments reuse generic scale or sector templates and were not designed around AI. It predicts identical scale tiers across activity types (P3a), rules that mirror pre-AI schemes (P3b), and gaps that reflect category definitions, not choices (P3c).</w:t>
      </w:r>
    </w:p>
    <w:p>
      <w:pPr>
        <w:pStyle w:val="FirstParagraph"/>
      </w:pPr>
      <w:r>
        <w:t xml:space="preserve">H2 and H3 can generate similar outcomes and differ mainly in origin. Legal texts alone separate H1 from the pair {H2, H3} better than they separate H2 from H3. We state this limit here, not in the discussion, because it governs how far the evidence can be read.</w:t>
      </w:r>
    </w:p>
    <w:bookmarkEnd w:id="26"/>
    <w:bookmarkEnd w:id="27"/>
    <w:bookmarkStart w:id="32"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 These limit what the findings can say and are discussed in Section 7.</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span the range of income trajectories in Bianchi et al. (2024): Thailand and Malaysia as trapped but improving, Vietnam as a new upper-middle-income economy with no trap history, and the Philippines as a country with a trap history at a lower income band. 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Do not submit without a stated reason;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buys one thing that a symmetric comparison would not: a test of whether rules and outcomes line up in at least one country. The cost is that claims about realised ownership rest on one country and are provisional.</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scheme guidelines; and the Philippines’ CREATE MORE Act with its implementing rules. Table 2 lists each source with its issuing body, date and access route.</w:t>
      </w:r>
    </w:p>
    <w:p>
      <w:pPr>
        <w:pStyle w:val="BodyText"/>
      </w:pPr>
      <w:r>
        <w:rPr>
          <w:bCs/>
          <w:b/>
        </w:rPr>
        <w:t xml:space="preserve">Table 2. Primary sources coded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r>
      <w:tr>
        <w:tc>
          <w:tcPr/>
          <w:p>
            <w:pPr>
              <w:pStyle w:val="Compact"/>
              <w:jc w:val="left"/>
            </w:pPr>
            <w:r>
              <w:t xml:space="preserve">Thailand</w:t>
            </w:r>
          </w:p>
        </w:tc>
        <w:tc>
          <w:tcPr/>
          <w:p>
            <w:pPr>
              <w:pStyle w:val="Compact"/>
              <w:jc w:val="left"/>
            </w:pPr>
            <w:r>
              <w:t xml:space="preserve">BOI Announcements 8/2565, 9/2565, 10/2565; Guide to Investment Promotion 2025; approval statistics Jan to Dec 2025</w:t>
            </w:r>
          </w:p>
        </w:tc>
        <w:tc>
          <w:tcPr/>
          <w:p>
            <w:pPr>
              <w:pStyle w:val="Compact"/>
              <w:jc w:val="left"/>
            </w:pPr>
            <w:r>
              <w:t xml:space="preserve">Board of Investment</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Vietnam</w:t>
            </w:r>
          </w:p>
        </w:tc>
        <w:tc>
          <w:tcPr/>
          <w:p>
            <w:pPr>
              <w:pStyle w:val="Compact"/>
              <w:jc w:val="left"/>
            </w:pPr>
            <w:r>
              <w:t xml:space="preserve">Decree 260/2026/ND-CP; Decision 21/2026/QD-TTg</w:t>
            </w:r>
          </w:p>
        </w:tc>
        <w:tc>
          <w:tcPr/>
          <w:p>
            <w:pPr>
              <w:pStyle w:val="Compact"/>
              <w:jc w:val="left"/>
            </w:pPr>
            <w:r>
              <w:t xml:space="preserve">Government; Prime Minister</w:t>
            </w:r>
          </w:p>
        </w:tc>
        <w:tc>
          <w:tcPr/>
          <w:p>
            <w:pPr>
              <w:pStyle w:val="Compact"/>
              <w:jc w:val="left"/>
            </w:pPr>
            <w:r>
              <w:t xml:space="preserve">1 July 2026 (VERIFY)</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Malaysia</w:t>
            </w:r>
          </w:p>
        </w:tc>
        <w:tc>
          <w:tcPr/>
          <w:p>
            <w:pPr>
              <w:pStyle w:val="Compact"/>
              <w:jc w:val="left"/>
            </w:pPr>
            <w:r>
              <w:t xml:space="preserve">Malaysia Digital incentive guidelines (2024); DESAC guidelines (2022)</w:t>
            </w:r>
          </w:p>
        </w:tc>
        <w:tc>
          <w:tcPr/>
          <w:p>
            <w:pPr>
              <w:pStyle w:val="Compact"/>
              <w:jc w:val="left"/>
            </w:pPr>
            <w:r>
              <w:t xml:space="preserve">MDEC; MIDA</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Philippines</w:t>
            </w:r>
          </w:p>
        </w:tc>
        <w:tc>
          <w:tcPr/>
          <w:p>
            <w:pPr>
              <w:pStyle w:val="Compact"/>
              <w:jc w:val="left"/>
            </w:pPr>
            <w:r>
              <w:t xml:space="preserve">Republic Act 12066 (CREATE MORE); FIRB Advisory 001-2025</w:t>
            </w:r>
          </w:p>
        </w:tc>
        <w:tc>
          <w:tcPr/>
          <w:p>
            <w:pPr>
              <w:pStyle w:val="Compact"/>
              <w:jc w:val="left"/>
            </w:pPr>
            <w:r>
              <w:t xml:space="preserve">Congress; FIRB</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bl>
    <w:p>
      <w:pPr>
        <w:pStyle w:val="BodyText"/>
      </w:pPr>
      <w:r>
        <w:t xml:space="preserve">Statistical sources for Vietnam are the Ministry of Information and Communications white book (2024) and the General Statistics Office yearbook (2024). Currency figures are converted at the rate prevailing when each instrument was coded</w:t>
      </w:r>
      <w:r>
        <w:t xml:space="preserve"> </w:t>
      </w:r>
      <w:r>
        <w:rPr>
          <w:bCs/>
          <w:b/>
        </w:rPr>
        <w:t xml:space="preserve">[PENDING: state the date and rate used for each currency in the note to Table 3]</w:t>
      </w:r>
      <w:r>
        <w:t xml:space="preserve">. The main limitations of these sources are that some texts were coded from official or unofficial English translations, that implementing rules may follow the primary text, and that Vietnam’s AI-specific regulatory layer is still developing following the 2025 AI law (Vietnam, 2025).</w:t>
      </w:r>
    </w:p>
    <w:bookmarkEnd w:id="29"/>
    <w:bookmarkStart w:id="30" w:name="coding-of-policy-instruments"/>
    <w:p>
      <w:pPr>
        <w:pStyle w:val="Heading3"/>
      </w:pPr>
      <w:r>
        <w:t xml:space="preserve">3.3 Coding of policy instruments</w:t>
      </w:r>
    </w:p>
    <w:p>
      <w:pPr>
        <w:pStyle w:val="FirstParagraph"/>
      </w:pPr>
      <w:r>
        <w:t xml:space="preserve">The unit of analysis is the instrument, a specific exemption, grant or eligibility rule, not the strategy document, since one strategy bundles many instruments. About twenty instruments were coded across the four countries (Supporting Information, Table S1). Each is coded on five dimensions:</w:t>
      </w:r>
      <w:r>
        <w:t xml:space="preserve"> </w:t>
      </w:r>
      <w:r>
        <w:rPr>
          <w:bCs/>
          <w:b/>
        </w:rPr>
        <w:t xml:space="preserve">(1) stack layer</w:t>
      </w:r>
      <w:r>
        <w:t xml:space="preserve">, using the four-layer scheme;</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(the scale dimension);</w:t>
      </w:r>
      <w:r>
        <w:t xml:space="preserve"> </w:t>
      </w:r>
      <w:r>
        <w:rPr>
          <w:bCs/>
          <w:b/>
        </w:rPr>
        <w:t xml:space="preserve">(4) new-firm accommodation</w:t>
      </w:r>
      <w:r>
        <w:t xml:space="preserve">, coded Yes only where the source contains an explicit provision easing access for smaller or newer firms (the vintage dimension); and</w:t>
      </w:r>
      <w:r>
        <w:t xml:space="preserve"> </w:t>
      </w:r>
      <w:r>
        <w:rPr>
          <w:bCs/>
          <w:b/>
        </w:rPr>
        <w:t xml:space="preserve">(5) recurring compliance burden</w:t>
      </w:r>
      <w:r>
        <w:t xml:space="preserve">, meaning annual or ongoing obligations attached to continued eligibility.</w:t>
      </w:r>
    </w:p>
    <w:p>
      <w:pPr>
        <w:pStyle w:val="BodyText"/>
      </w:pPr>
      <w:r>
        <w:t xml:space="preserve">The codebook is in Appendix A. Rules for ambiguous cases are as follows. A threshold the source does not state is coded</w:t>
      </w:r>
      <w:r>
        <w:t xml:space="preserve"> </w:t>
      </w:r>
      <w:r>
        <w:t xml:space="preserve">“</w:t>
      </w:r>
      <w:r>
        <w:t xml:space="preserve">none stated</w:t>
      </w:r>
      <w:r>
        <w:t xml:space="preserve">”</w:t>
      </w:r>
      <w:r>
        <w:t xml:space="preserve">, not zero. An instrument applying across activity types without targeting a layer is coded</w:t>
      </w:r>
      <w:r>
        <w:t xml:space="preserve"> </w:t>
      </w:r>
      <w:r>
        <w:t xml:space="preserve">“</w:t>
      </w:r>
      <w:r>
        <w:t xml:space="preserve">cross-cutting</w:t>
      </w:r>
      <w:r>
        <w:t xml:space="preserve">”</w:t>
      </w:r>
      <w:r>
        <w:t xml:space="preserve">. A proportional requirement, such as a percentage of staff, is coded</w:t>
      </w:r>
      <w:r>
        <w:t xml:space="preserve"> </w:t>
      </w:r>
      <w:r>
        <w:t xml:space="preserve">“</w:t>
      </w:r>
      <w:r>
        <w:t xml:space="preserve">not scale-based</w:t>
      </w:r>
      <w:r>
        <w:t xml:space="preserve">”</w:t>
      </w:r>
      <w:r>
        <w:t xml:space="preserve">, because a firm of ten people can satisfy it as readily as a firm of a thousand. Where a scheme combines tax and direct components, each component is coded as a separate row. Where a coding decision remained uncertain after reading the source, the instrument is flagged and the decision is logged in the Supporting Information.</w:t>
      </w:r>
    </w:p>
    <w:p>
      <w:pPr>
        <w:pStyle w:val="BodyText"/>
      </w:pPr>
      <w:r>
        <w:t xml:space="preserve">We report the coded dimensions directly, as a matrix (Table 3), and do not aggregate them into an index. Any weighting across dimensions would be a modelling assumption with no data-derived basis, and a single number would convey more precision than the coding supports.</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the codebook in Appendix A. We will report percentage agreement and Cohen’s kappa (Cohen, 1960) per dimension, with Krippendorff’s alpha (Krippendorff, 2018) as a check given the small number of units; we will report agreement before and after discussion and log every resolved disagreement. Replace this paragraph with the results. Until it is done, all coding results should be read as the first coder’s judgements.]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Replace this paragraph with the verification result.]</w:t>
      </w:r>
    </w:p>
    <w:p>
      <w:pPr>
        <w:pStyle w:val="BodyText"/>
      </w:pPr>
      <w:r>
        <w:rPr>
          <w:bCs/>
          <w:b/>
        </w:rPr>
        <w:t xml:space="preserve">Search protocol for absence claims.</w:t>
      </w:r>
      <w:r>
        <w:t xml:space="preserve"> </w:t>
      </w:r>
      <w:r>
        <w:t xml:space="preserve">Our claim that no AI-related instrument addresses compute provision below facility scale is a claim about absence.</w:t>
      </w:r>
      <w:r>
        <w:t xml:space="preserve"> </w:t>
      </w:r>
      <w:r>
        <w:rPr>
          <w:bCs/>
          <w:b/>
        </w:rPr>
        <w:t xml:space="preserve">[PENDING: document the search: which instrument lists were read in full, which key terms were searched in the English and national-language texts (for example colocation, cloud service, compute, GPU, shared infrastructure), and on what date, and name the nearest instrument to sub-facility compute in each country.]</w:t>
      </w:r>
    </w:p>
    <w:p>
      <w:pPr>
        <w:pStyle w:val="BodyText"/>
      </w:pPr>
      <w:r>
        <w:rPr>
          <w:bCs/>
          <w:b/>
        </w:rPr>
        <w:t xml:space="preserve">General-purpose instruments.</w:t>
      </w:r>
      <w:r>
        <w:t xml:space="preserve"> </w:t>
      </w:r>
      <w:r>
        <w:t xml:space="preserve">The coding so far covers AI-tagged and digital-sector incentives. Firms may reach support through general SME, startup or research schemes that do not mention AI.</w:t>
      </w:r>
      <w:r>
        <w:t xml:space="preserve"> </w:t>
      </w:r>
      <w:r>
        <w:rPr>
          <w:bCs/>
          <w:b/>
        </w:rPr>
        <w:t xml:space="preserve">[PENDING: code the general SME, startup and research instruments of each country on the same five dimensions, and report whether any would apply to a sub-facility compute provider. Until this is done, the absence claim in Section 4.5 is limited to AI-related and digital-sector instruments.]</w:t>
      </w:r>
    </w:p>
    <w:bookmarkEnd w:id="30"/>
    <w:bookmarkStart w:id="31" w:name="assessing-rival-explanations"/>
    <w:p>
      <w:pPr>
        <w:pStyle w:val="Heading3"/>
      </w:pPr>
      <w:r>
        <w:t xml:space="preserve">3.4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about nine evidence items cannot support defensible numerical priors, and the conclusions would then depend on the priors. We use an ordinal rubric instead, so that every rating can be traced to a stated rule.</w:t>
      </w:r>
    </w:p>
    <w:p>
      <w:pPr>
        <w:pStyle w:val="BodyText"/>
      </w:pPr>
      <w:r>
        <w:rPr>
          <w:bCs/>
          <w:b/>
        </w:rPr>
        <w:t xml:space="preserve">Table 1. Rubric for assessing evidence against hypotheses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The hypothesis predicts this evidence (it is part of one of its stated predictions P1 to P3)</w:t>
            </w:r>
          </w:p>
        </w:tc>
      </w:tr>
      <w:tr>
        <w:tc>
          <w:tcPr/>
          <w:p>
            <w:pPr>
              <w:pStyle w:val="Compact"/>
              <w:jc w:val="left"/>
            </w:pPr>
            <w:r>
              <w:t xml:space="preserve">Compatible (C)</w:t>
            </w:r>
          </w:p>
        </w:tc>
        <w:tc>
          <w:tcPr/>
          <w:p>
            <w:pPr>
              <w:pStyle w:val="Compact"/>
              <w:jc w:val="left"/>
            </w:pPr>
            <w:r>
              <w:t xml:space="preserve">The hypothesis does not predict the evidence but is consistent with it</w:t>
            </w:r>
          </w:p>
        </w:tc>
      </w:tr>
      <w:tr>
        <w:tc>
          <w:tcPr/>
          <w:p>
            <w:pPr>
              <w:pStyle w:val="Compact"/>
              <w:jc w:val="left"/>
            </w:pPr>
            <w:r>
              <w:t xml:space="preserve">Unexpected (U)</w:t>
            </w:r>
          </w:p>
        </w:tc>
        <w:tc>
          <w:tcPr/>
          <w:p>
            <w:pPr>
              <w:pStyle w:val="Compact"/>
              <w:jc w:val="left"/>
            </w:pPr>
            <w:r>
              <w:t xml:space="preserve">The evidence is in tension with the hypothesis and can be reconciled only with an additional assumption</w:t>
            </w:r>
          </w:p>
        </w:tc>
      </w:tr>
      <w:tr>
        <w:tc>
          <w:tcPr/>
          <w:p>
            <w:pPr>
              <w:pStyle w:val="Compact"/>
              <w:jc w:val="left"/>
            </w:pPr>
            <w:r>
              <w:t xml:space="preserve">Contradicted (X)</w:t>
            </w:r>
          </w:p>
        </w:tc>
        <w:tc>
          <w:tcPr/>
          <w:p>
            <w:pPr>
              <w:pStyle w:val="Compact"/>
              <w:jc w:val="left"/>
            </w:pPr>
            <w:r>
              <w:t xml:space="preserve">The evidence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At least one rival is rated U or X, the evidence rests on verified coding, and no auxiliary assumption is needed</w:t>
            </w:r>
          </w:p>
        </w:tc>
      </w:tr>
      <w:tr>
        <w:tc>
          <w:tcPr/>
          <w:p>
            <w:pPr>
              <w:pStyle w:val="Compact"/>
              <w:jc w:val="left"/>
            </w:pPr>
            <w:r>
              <w:t xml:space="preserve">Moderate</w:t>
            </w:r>
          </w:p>
        </w:tc>
        <w:tc>
          <w:tcPr/>
          <w:p>
            <w:pPr>
              <w:pStyle w:val="Compact"/>
              <w:jc w:val="left"/>
            </w:pPr>
            <w:r>
              <w:t xml:space="preserve">At least one rival is rated U or X, but the weight depends on an auxiliary assumption or on coding not yet verified</w:t>
            </w:r>
          </w:p>
        </w:tc>
      </w:tr>
      <w:tr>
        <w:tc>
          <w:tcPr/>
          <w:p>
            <w:pPr>
              <w:pStyle w:val="Compact"/>
              <w:jc w:val="left"/>
            </w:pPr>
            <w:r>
              <w:t xml:space="preserve">Weak</w:t>
            </w:r>
          </w:p>
        </w:tc>
        <w:tc>
          <w:tcPr/>
          <w:p>
            <w:pPr>
              <w:pStyle w:val="Compact"/>
              <w:jc w:val="left"/>
            </w:pPr>
            <w:r>
              <w:t xml:space="preserve">No rival is rated U or X, so the evidence does not discriminate</w:t>
            </w:r>
          </w:p>
        </w:tc>
      </w:tr>
    </w:tbl>
    <w:p>
      <w:pPr>
        <w:pStyle w:val="BodyText"/>
      </w:pPr>
      <w:r>
        <w:t xml:space="preserve">For each row we also state what evidence would change the rating (Table 4) and test how conclusions change when single rows are dropped (Section 5.3). 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We say this here, and we build the argument on the evidence that does discriminate.</w:t>
      </w:r>
    </w:p>
    <w:bookmarkEnd w:id="31"/>
    <w:bookmarkEnd w:id="32"/>
    <w:bookmarkStart w:id="38" w:name="findings"/>
    <w:p>
      <w:pPr>
        <w:pStyle w:val="Heading2"/>
      </w:pPr>
      <w:r>
        <w:t xml:space="preserve">4. Findings</w:t>
      </w:r>
    </w:p>
    <w:bookmarkStart w:id="33" w:name="thailand"/>
    <w:p>
      <w:pPr>
        <w:pStyle w:val="Heading3"/>
      </w:pPr>
      <w:r>
        <w:t xml:space="preserve">4.1 Thailand</w:t>
      </w:r>
    </w:p>
    <w:p>
      <w:pPr>
        <w:pStyle w:val="FirstParagraph"/>
      </w:pPr>
      <w:r>
        <w:t xml:space="preserve">Thailand’s Board of Investment administers AI-relevant incentives through its Digital, Creative Industries and High-Value Service division, established under two 2022 announcements (Board of Investment of Thailand, 2022, 2025). Software and digital-content development qualifies for an uncapped corporate income tax exemption at an annual threshold of approximately 1.5 million baht (about US$42,000), calculated from local staff salary expenditure, which a small technical team can reach. GPU-based data hosting, the layer most directly involved in training or serving models, requires minimum capital of approximately 5,000 million baht (about US$140 million) and an extensive certification regime. These two thresholds are not strictly comparable, since one is an annual expenditure flow and the other a capital stock, so we do not compute a ratio between them. We compare realised project sizes instead (below).</w:t>
      </w:r>
    </w:p>
    <w:p>
      <w:pPr>
        <w:pStyle w:val="BodyText"/>
      </w:pPr>
      <w:r>
        <w:t xml:space="preserve">The structure is more than a binary. Baseline research and development qualifies at the same accessible threshold as software. A separate competitiveness-enhancement mechanism lets qualifying firms extend the exemption to thirteen years if they make additional investment of at least 200 million baht, representing a specified minimum share of sales over the following three years (Board of Investment of Thailand, 2022). The most generous tier is thus reserved for firms with a revenue base large enough to meet it. This is a vintage barrier that applies to software, where a cost rationale does not apply.</w:t>
      </w:r>
      <w:r>
        <w:t xml:space="preserve"> </w:t>
      </w:r>
      <w:r>
        <w:rPr>
          <w:bCs/>
          <w:b/>
        </w:rPr>
        <w:t xml:space="preserve">[VERIFY: whether this mechanism is specific to the digital division or cross-sectoral, since the answer bears on H3.]</w:t>
      </w:r>
    </w:p>
    <w:p>
      <w:pPr>
        <w:pStyle w:val="BodyText"/>
      </w:pPr>
      <w:r>
        <w:t xml:space="preserve">Realised approvals agree with the formal rules. Approval statistics for January to December 2025 show 96 approved projects under Activity 8.1.1 (software and digital platforms) with combined investment of 933.0 million baht, an average of about 9.7 million baht. Over the same period 24 approved data-centre projects under Activity 8.2.1 carried 457,999.8 million baht, an average of about 19,083 million baht, and a single data-hosting project under Activity 8.2.4 carried 126,793.0 million baht (Board of Investment of Thailand, 2026). The average data-centre project is therefore about 1,960 times the average software project in approved investment. This compares approved incentive projects, not firms.</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which is a single project, and it is a description of who holds capital in approved projects. It does not show whether Thai firms were excluded, and it is the pattern a cost-based account also predicts (Section 5.2). Lehdonvirta, Wú and Hawkins (2025) show that the global reach of cloud data centres is shaped by the economic and security interests of a few home states, which is one reason to expect foreign capital in this layer independently of Thai incentive design.</w:t>
      </w:r>
    </w:p>
    <w:p>
      <w:pPr>
        <w:pStyle w:val="BodyText"/>
      </w:pPr>
      <w:r>
        <w:t xml:space="preserve">A further observation bears on the offshoring channel discussed in Section 2.2. The Trade and Investment Support Office category, which explicitly includes internationally delivered business-process outsourcing, receives the lowest incentive tier in the division, with no corporate income tax exemption. This is an activity exposed to AI-driven automation and receives the least support.</w:t>
      </w:r>
    </w:p>
    <w:bookmarkEnd w:id="33"/>
    <w:bookmarkStart w:id="34" w:name="vietnam"/>
    <w:p>
      <w:pPr>
        <w:pStyle w:val="Heading3"/>
      </w:pPr>
      <w:r>
        <w:t xml:space="preserve">4.2 Vietnam</w:t>
      </w:r>
    </w:p>
    <w:p>
      <w:pPr>
        <w:pStyle w:val="FirstParagraph"/>
      </w:pPr>
      <w:r>
        <w:t xml:space="preserve">Decree 260/2026, implementing the Law on High Technology, took effect on 1 July 2026 and sets two tracks (Vietnam, 2026a). The first, for recognised research centres, imposes demanding conditions: at least 60 per cent of staff in research and development (70 per cent for strategically designated technology), and research spending of 65 to 70 per cent of annual operating budget. These conditions restrict the track to purpose-built research institutions.</w:t>
      </w:r>
      <w:r>
        <w:t xml:space="preserve"> </w:t>
      </w:r>
      <w:r>
        <w:rPr>
          <w:bCs/>
          <w:b/>
        </w:rPr>
        <w:t xml:space="preserve">[VERIFY: percentage thresholds against the decree text.]</w:t>
      </w:r>
    </w:p>
    <w:p>
      <w:pPr>
        <w:pStyle w:val="BodyText"/>
      </w:pPr>
      <w:r>
        <w:t xml:space="preserve">The second track, for recognised startups, is more accessible. It requires only demonstrated revenue growth or a commercialisation-ready technology. Qualifying startups receive the full incentive package, fee exemptions for state research facilities, and priority access to the National Venture Capital Fund, a direct equity instrument distinct from the National Technology Innovation Fund, which provides subsidised lending. This is the clearest instance in our data of explicit accommodation for new firms, and part of it is delivered by direct, not tax-based, means.</w:t>
      </w:r>
      <w:r>
        <w:t xml:space="preserve"> </w:t>
      </w:r>
      <w:r>
        <w:rPr>
          <w:bCs/>
          <w:b/>
        </w:rPr>
        <w:t xml:space="preserve">[VERIFY: Article 11 provisions and the fund distinction.]</w:t>
      </w:r>
    </w:p>
    <w:p>
      <w:pPr>
        <w:pStyle w:val="BodyText"/>
      </w:pPr>
      <w:r>
        <w:t xml:space="preserve">Decision 21/2026, which replaced a 2025 list, groups thirty strategic technology products into two priority tiers (Vietnam, 2026b). The top tier, of market-ready products with large direct economic impact, includes Vietnamese-language large language models, virtual assistants and specialised AI systems, and also cloud-computing platforms as a separate line item. The lower tier, of future and foundational technologies, includes specialised chips, quantum technologies and satellite systems. Vietnam therefore places cloud and compute provision in the same top tier as models and applications and assigns specialised chips to the lower tier. Within the four-layer scheme the boundary in Vietnam falls at layer (iv), hardware manufacture, not at layers (ii) or (iii). Edge-processing AI cameras and digital-twin platforms are also top-tier items, but they are application products, and we do not count them as evidence about compute provision</w:t>
      </w:r>
      <w:r>
        <w:t xml:space="preserve"> </w:t>
      </w:r>
      <w:r>
        <w:rPr>
          <w:bCs/>
          <w:b/>
        </w:rPr>
        <w:t xml:space="preserve">[PENDING: the first coding placed them in layer (ii); recode them as layer (i) and confirm in Table S1]</w:t>
      </w:r>
      <w:r>
        <w:t xml:space="preserve">.</w:t>
      </w:r>
    </w:p>
    <w:p>
      <w:pPr>
        <w:pStyle w:val="BodyText"/>
      </w:pPr>
      <w:r>
        <w:t xml:space="preserve">Vietnam’s design differs from Thailand’s in kind. Thailand and Malaysia define eligibility through activity-specific capital thresholds. Vietnam sets priority through a list of strategic technologies that carries no stated capital rule. A list-based design does not generate a capital gradient, which may be why none appears in Vietnam. The same design moves gatekeeping to discretionary designation and to other instruments whose effect on access we have not coded, so this is a hypothesis about origin, not a finding about access.</w:t>
      </w:r>
    </w:p>
    <w:p>
      <w:pPr>
        <w:pStyle w:val="BodyText"/>
      </w:pPr>
      <w:r>
        <w:t xml:space="preserve">Vietnam’s realised concentration at the infrastructure layer, illustrated by a large AI data centre announced for Ho Chi Minh City in 2026 and financed by the country’s largest conglomerate, cannot be attributed to incentive rules that exclude smaller firms from that layer, because those rules do not do so. It is more plausibly a market-structure outcome. Government data are consistent with that reading: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Of 9,348 operating enterprises in computer programming and related activities at the end of 2022, 57.9 per cent employed fewer than five people and 35.7 per cent employed between five and 49 (Vietnam, General Statistics Office, 2024). That is a base of micro and small firms, which the startup carve-out would be expected to serve.</w:t>
      </w:r>
      <w:r>
        <w:t xml:space="preserve"> </w:t>
      </w:r>
      <w:r>
        <w:rPr>
          <w:bCs/>
          <w:b/>
        </w:rPr>
        <w:t xml:space="preserve">[VERIFY: all three statistical figures against the cited sources.]</w:t>
      </w:r>
    </w:p>
    <w:bookmarkEnd w:id="34"/>
    <w:bookmarkStart w:id="35" w:name="malaysia"/>
    <w:p>
      <w:pPr>
        <w:pStyle w:val="Heading3"/>
      </w:pPr>
      <w:r>
        <w:t xml:space="preserve">4.3 Malaysia</w:t>
      </w:r>
    </w:p>
    <w:p>
      <w:pPr>
        <w:pStyle w:val="FirstParagraph"/>
      </w:pPr>
      <w:r>
        <w:t xml:space="preserve">Malaysia runs two parallel schemes. The Malaysia Digital tax incentive, covering software and digital services including AI, requires only RM50,000 (about US$11,000) of minimum paid-up capital, the lowest entry threshold across the four countries (Malaysia Digital Economy Corporation, 2024). Against this stands a recurring compliance burden: an annual self-declaration verified by an externally appointed auditor at the firm’s own expense. The cost is largely fixed, so it weighs more heavily on a firm capitalised at that level. This is the mechanism Bahar et al. (2026) identify for Japan, operating here through compliance cost and not through a capital threshold.</w:t>
      </w:r>
    </w:p>
    <w:p>
      <w:pPr>
        <w:pStyle w:val="BodyText"/>
      </w:pPr>
      <w:r>
        <w:t xml:space="preserve">The Digital Ecosystem Acceleration scheme (DESAC), covering data centres and cloud infrastructure, uses a graduated structure (Malaysian Investment Development Authority, 2022). Entry-level eligibility requires RM2.5 million (about US$550,000) of paid-up capital, and the full ten-year highest-rate benefit requires cumulative capital expenditure of RM1 billion (about US$220 million), which exceeds Thailand’s threshold in dollar terms. A separate, lower threshold applies to existing firms expanding. The structure is a continuous pathway from small to large, in contrast with a single gate, but at the deepest tier its practical effect is comparable.</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of the 2025 budget statements, which are listed as unverified]</w:t>
      </w:r>
      <w:r>
        <w:t xml:space="preserve">. This shows that policymakers saw a problem with the existing design. It does not show that firm-size bias is the cause, since a low employment yield per unit of capital is also what a capital-intensive activity produces. We therefore treat it as weak evidence between the hypotheses (Table 4).</w:t>
      </w:r>
    </w:p>
    <w:p>
      <w:pPr>
        <w:pStyle w:val="BodyText"/>
      </w:pPr>
      <w:r>
        <w:t xml:space="preserve">The scheme also requires that at least half of a data centre’s full-time staff be Malaysian nationals earning above a specified salary level. A requirement stated as a proportion is not a scale filter, since a ten-person firm can meet it as readily as a thousand-person firm, and we record it as an exploratory observation outside the central mechanism.</w:t>
      </w:r>
    </w:p>
    <w:bookmarkEnd w:id="35"/>
    <w:bookmarkStart w:id="36" w:name="the-philippines"/>
    <w:p>
      <w:pPr>
        <w:pStyle w:val="Heading3"/>
      </w:pPr>
      <w:r>
        <w:t xml:space="preserve">4.4 The Philippines</w:t>
      </w:r>
    </w:p>
    <w:p>
      <w:pPr>
        <w:pStyle w:val="FirstParagraph"/>
      </w:pPr>
      <w:r>
        <w:t xml:space="preserve">The Philippine architecture, established under the CREATE MORE Act, differs structurally from the other three (Philippines, 2024; Philippines, Fiscal Incentives Review Board, 2025). Standard registration carries no stated minimum investment; eligibility depends on inclusion in the Strategic Investment Priority Plan, on ownership qualifications and on a cost-benefit evaluation, not on firm size directly.</w:t>
      </w:r>
    </w:p>
    <w:p>
      <w:pPr>
        <w:pStyle w:val="BodyText"/>
      </w:pPr>
      <w:r>
        <w:t xml:space="preserve">Above this baseline sits a firm-scale threshold at PHP 15 billion (about US$260 million), which both defines a high-value domestic market enterprise and determines whether incentives are granted by the investment promotion agency or escalated to the Fiscal Incentives Review Board, with availment periods reaching 24 to 27 years. Beyond this the President may modify the mix, period and manner of availment, or craft a bespoke package, for a project designated highly desirable, with total incentives capped at forty years. This presidential mechanism is discretionary and, in the statutory text we examined, is not tied to a stated investment figure.</w:t>
      </w:r>
    </w:p>
    <w:p>
      <w:pPr>
        <w:pStyle w:val="BodyText"/>
      </w:pPr>
      <w:r>
        <w:t xml:space="preserve">These firm-scale tiers apply uniformly regardless of activity type, and the Strategic Investment Priority Plan groups AI and data-centre infrastructure in the same priority tier</w:t>
      </w:r>
      <w:r>
        <w:t xml:space="preserve"> </w:t>
      </w:r>
      <w:r>
        <w:rPr>
          <w:bCs/>
          <w:b/>
        </w:rPr>
        <w:t xml:space="preserve">[VERIFY: edition and date of the Plan and its exact treatment of AI relative to data-centre infrastructure]</w:t>
      </w:r>
      <w:r>
        <w:t xml:space="preserve">. The Philippines therefore encodes no boundary between AI applications and AI infrastructure; its gradient operates on firm scale alone.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6"/>
    <w:bookmarkStart w:id="37" w:name="cross-country-synthesis"/>
    <w:p>
      <w:pPr>
        <w:pStyle w:val="Heading3"/>
      </w:pPr>
      <w:r>
        <w:t xml:space="preserve">4.5 Cross-country synthesis</w:t>
      </w:r>
    </w:p>
    <w:p>
      <w:pPr>
        <w:pStyle w:val="FirstParagraph"/>
      </w:pPr>
      <w:r>
        <w:t xml:space="preserve">Table 3 sets out the coded dimensions. Read through the four-layer scheme, the countries do not divide into three cases of bifurcation and one exception. They divide by where the access boundary falls.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Applications and models</w:t>
            </w:r>
          </w:p>
        </w:tc>
        <w:tc>
          <w:tcPr/>
          <w:p>
            <w:pPr>
              <w:pStyle w:val="Compact"/>
              <w:jc w:val="left"/>
            </w:pPr>
            <w:r>
              <w:t xml:space="preserve">Accessible: about US$42,000 per year in local salary spend</w:t>
            </w:r>
          </w:p>
        </w:tc>
        <w:tc>
          <w:tcPr/>
          <w:p>
            <w:pPr>
              <w:pStyle w:val="Compact"/>
              <w:jc w:val="left"/>
            </w:pPr>
            <w:r>
              <w:t xml:space="preserve">Accessible: named top-tier strategic priority</w:t>
            </w:r>
          </w:p>
        </w:tc>
        <w:tc>
          <w:tcPr/>
          <w:p>
            <w:pPr>
              <w:pStyle w:val="Compact"/>
              <w:jc w:val="left"/>
            </w:pPr>
            <w:r>
              <w:t xml:space="preserve">Accessible: about US$11,000 paid-up capital</w:t>
            </w:r>
          </w:p>
        </w:tc>
        <w:tc>
          <w:tcPr/>
          <w:p>
            <w:pPr>
              <w:pStyle w:val="Compact"/>
              <w:jc w:val="left"/>
            </w:pPr>
            <w:r>
              <w:t xml:space="preserve">Accessible: no stated minimum investment</w:t>
            </w:r>
          </w:p>
        </w:tc>
      </w:tr>
      <w:tr>
        <w:tc>
          <w:tcPr/>
          <w:p>
            <w:pPr>
              <w:pStyle w:val="Compact"/>
              <w:jc w:val="left"/>
            </w:pPr>
            <w:r>
              <w:t xml:space="preserve">Cloud and compute services</w:t>
            </w:r>
          </w:p>
        </w:tc>
        <w:tc>
          <w:tcPr/>
          <w:p>
            <w:pPr>
              <w:pStyle w:val="Compact"/>
              <w:jc w:val="left"/>
            </w:pPr>
            <w:r>
              <w:t xml:space="preserve">Not separately provided for</w:t>
            </w:r>
          </w:p>
        </w:tc>
        <w:tc>
          <w:tcPr/>
          <w:p>
            <w:pPr>
              <w:pStyle w:val="Compact"/>
              <w:jc w:val="left"/>
            </w:pPr>
            <w:r>
              <w:t xml:space="preserve">Top tier, same as applications</w:t>
            </w:r>
          </w:p>
        </w:tc>
        <w:tc>
          <w:tcPr/>
          <w:p>
            <w:pPr>
              <w:pStyle w:val="Compact"/>
              <w:jc w:val="left"/>
            </w:pPr>
            <w:r>
              <w:t xml:space="preserve">Within DESAC; entry about US$550,000</w:t>
            </w:r>
          </w:p>
        </w:tc>
        <w:tc>
          <w:tcPr/>
          <w:p>
            <w:pPr>
              <w:pStyle w:val="Compact"/>
              <w:jc w:val="left"/>
            </w:pPr>
            <w:r>
              <w:t xml:space="preserve">Same priority tier as AI applications</w:t>
            </w:r>
          </w:p>
        </w:tc>
      </w:tr>
      <w:tr>
        <w:tc>
          <w:tcPr/>
          <w:p>
            <w:pPr>
              <w:pStyle w:val="Compact"/>
              <w:jc w:val="left"/>
            </w:pPr>
            <w:r>
              <w:t xml:space="preserve">Physical data-centre capacity</w:t>
            </w:r>
          </w:p>
        </w:tc>
        <w:tc>
          <w:tcPr/>
          <w:p>
            <w:pPr>
              <w:pStyle w:val="Compact"/>
              <w:jc w:val="left"/>
            </w:pPr>
            <w:r>
              <w:t xml:space="preserve">Restricted: about US$140 million minimum</w:t>
            </w:r>
          </w:p>
        </w:tc>
        <w:tc>
          <w:tcPr/>
          <w:p>
            <w:pPr>
              <w:pStyle w:val="Compact"/>
              <w:jc w:val="left"/>
            </w:pPr>
            <w:r>
              <w:t xml:space="preserve">No stated capital threshold</w:t>
            </w:r>
          </w:p>
        </w:tc>
        <w:tc>
          <w:tcPr/>
          <w:p>
            <w:pPr>
              <w:pStyle w:val="Compact"/>
              <w:jc w:val="left"/>
            </w:pPr>
            <w:r>
              <w:t xml:space="preserve">Graduated: entry about US$550,000; top tier about US$220 million</w:t>
            </w:r>
          </w:p>
        </w:tc>
        <w:tc>
          <w:tcPr/>
          <w:p>
            <w:pPr>
              <w:pStyle w:val="Compact"/>
              <w:jc w:val="left"/>
            </w:pPr>
            <w:r>
              <w:t xml:space="preserve">No stated minimum; scale tiers apply</w:t>
            </w:r>
          </w:p>
        </w:tc>
      </w:tr>
      <w:tr>
        <w:tc>
          <w:tcPr/>
          <w:p>
            <w:pPr>
              <w:pStyle w:val="Compact"/>
              <w:jc w:val="left"/>
            </w:pPr>
            <w:r>
              <w:t xml:space="preserve">Hardware manufacture</w:t>
            </w:r>
          </w:p>
        </w:tc>
        <w:tc>
          <w:tcPr/>
          <w:p>
            <w:pPr>
              <w:pStyle w:val="Compact"/>
              <w:jc w:val="left"/>
            </w:pPr>
            <w:r>
              <w:t xml:space="preserve">Separate activity divisions</w:t>
            </w:r>
          </w:p>
        </w:tc>
        <w:tc>
          <w:tcPr/>
          <w:p>
            <w:pPr>
              <w:pStyle w:val="Compact"/>
              <w:jc w:val="left"/>
            </w:pPr>
            <w:r>
              <w:t xml:space="preserve">Lower priority tier (specialised chips)</w:t>
            </w:r>
          </w:p>
        </w:tc>
        <w:tc>
          <w:tcPr/>
          <w:p>
            <w:pPr>
              <w:pStyle w:val="Compact"/>
              <w:jc w:val="left"/>
            </w:pPr>
            <w:r>
              <w:t xml:space="preserve">Separate schemes</w:t>
            </w:r>
          </w:p>
        </w:tc>
        <w:tc>
          <w:tcPr/>
          <w:p>
            <w:pPr>
              <w:pStyle w:val="Compact"/>
              <w:jc w:val="left"/>
            </w:pPr>
            <w:r>
              <w:t xml:space="preserve">No distinct treatment</w:t>
            </w:r>
          </w:p>
        </w:tc>
      </w:tr>
      <w:tr>
        <w:tc>
          <w:tcPr/>
          <w:p>
            <w:pPr>
              <w:pStyle w:val="Compact"/>
              <w:jc w:val="left"/>
            </w:pPr>
            <w:r>
              <w:t xml:space="preserve">Instrument below facility scale</w:t>
            </w:r>
          </w:p>
        </w:tc>
        <w:tc>
          <w:tcPr/>
          <w:p>
            <w:pPr>
              <w:pStyle w:val="Compact"/>
              <w:jc w:val="left"/>
            </w:pPr>
            <w:r>
              <w:t xml:space="preserve">None identified (</w:t>
            </w:r>
            <w:r>
              <w:rPr>
                <w:bCs/>
                <w:b/>
              </w:rPr>
              <w:t xml:space="preserve">PENDING</w:t>
            </w:r>
            <w:r>
              <w:t xml:space="preserve"> </w:t>
            </w:r>
            <w:r>
              <w:t xml:space="preserve">search protocol)</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None identified (</w:t>
            </w:r>
            <w:r>
              <w:rPr>
                <w:bCs/>
                <w:b/>
              </w:rPr>
              <w:t xml:space="preserve">PENDING</w:t>
            </w:r>
            <w:r>
              <w:t xml:space="preserve">)</w:t>
            </w:r>
          </w:p>
        </w:tc>
      </w:tr>
      <w:tr>
        <w:tc>
          <w:tcPr/>
          <w:p>
            <w:pPr>
              <w:pStyle w:val="Compact"/>
              <w:jc w:val="left"/>
            </w:pPr>
            <w:r>
              <w:t xml:space="preserve">Accommodation for small or new firms</w:t>
            </w:r>
          </w:p>
        </w:tc>
        <w:tc>
          <w:tcPr/>
          <w:p>
            <w:pPr>
              <w:pStyle w:val="Compact"/>
              <w:jc w:val="left"/>
            </w:pPr>
            <w:r>
              <w:t xml:space="preserve">None within AI categories</w:t>
            </w:r>
          </w:p>
        </w:tc>
        <w:tc>
          <w:tcPr/>
          <w:p>
            <w:pPr>
              <w:pStyle w:val="Compact"/>
              <w:jc w:val="left"/>
            </w:pPr>
            <w:r>
              <w:t xml:space="preserve">Startup track (Decree 260, Art. 11)</w:t>
            </w:r>
          </w:p>
        </w:tc>
        <w:tc>
          <w:tcPr/>
          <w:p>
            <w:pPr>
              <w:pStyle w:val="Compact"/>
              <w:jc w:val="left"/>
            </w:pPr>
            <w:r>
              <w:t xml:space="preserve">None; entry capital bar is low instead</w:t>
            </w:r>
          </w:p>
        </w:tc>
        <w:tc>
          <w:tcPr/>
          <w:p>
            <w:pPr>
              <w:pStyle w:val="Compact"/>
              <w:jc w:val="left"/>
            </w:pPr>
            <w:r>
              <w:t xml:space="preserve">None activity-specific</w:t>
            </w:r>
          </w:p>
        </w:tc>
      </w:tr>
      <w:tr>
        <w:tc>
          <w:tcPr/>
          <w:p>
            <w:pPr>
              <w:pStyle w:val="Compact"/>
              <w:jc w:val="left"/>
            </w:pPr>
            <w:r>
              <w:t xml:space="preserve">Delivery mechanism at accessible tier</w:t>
            </w:r>
          </w:p>
        </w:tc>
        <w:tc>
          <w:tcPr/>
          <w:p>
            <w:pPr>
              <w:pStyle w:val="Compact"/>
              <w:jc w:val="left"/>
            </w:pPr>
            <w:r>
              <w:t xml:space="preserve">Indirect (tax exemption)</w:t>
            </w:r>
          </w:p>
        </w:tc>
        <w:tc>
          <w:tcPr/>
          <w:p>
            <w:pPr>
              <w:pStyle w:val="Compact"/>
              <w:jc w:val="left"/>
            </w:pPr>
            <w:r>
              <w:t xml:space="preserve">Tax plus direct equity access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Certification regime at infrastructure tier</w:t>
            </w:r>
          </w:p>
        </w:tc>
        <w:tc>
          <w:tcPr/>
          <w:p>
            <w:pPr>
              <w:pStyle w:val="Compact"/>
              <w:jc w:val="left"/>
            </w:pPr>
            <w:r>
              <w:t xml:space="preserve">R&amp;D staffing and spending ratios (research track)</w:t>
            </w:r>
          </w:p>
        </w:tc>
        <w:tc>
          <w:tcPr/>
          <w:p>
            <w:pPr>
              <w:pStyle w:val="Compact"/>
              <w:jc w:val="left"/>
            </w:pPr>
            <w:r>
              <w:t xml:space="preserve">Annual auditor-verified self-declaration</w:t>
            </w:r>
          </w:p>
        </w:tc>
        <w:tc>
          <w:tcPr/>
          <w:p>
            <w:pPr>
              <w:pStyle w:val="Compact"/>
              <w:jc w:val="left"/>
            </w:pPr>
            <w:r>
              <w:t xml:space="preserve">FIRB escalation above PHP 15 billion</w:t>
            </w:r>
          </w:p>
        </w:tc>
      </w:tr>
      <w:tr>
        <w:tc>
          <w:tcPr/>
          <w:p>
            <w:pPr>
              <w:pStyle w:val="Compact"/>
              <w:jc w:val="left"/>
            </w:pPr>
            <w:r>
              <w:t xml:space="preserve">Realised 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Where the access boundary falls</w:t>
            </w:r>
          </w:p>
        </w:tc>
        <w:tc>
          <w:tcPr/>
          <w:p>
            <w:pPr>
              <w:pStyle w:val="Compact"/>
              <w:jc w:val="left"/>
            </w:pPr>
            <w:r>
              <w:t xml:space="preserve">Physical data-centre capacity (single cutoff)</w:t>
            </w:r>
          </w:p>
        </w:tc>
        <w:tc>
          <w:tcPr/>
          <w:p>
            <w:pPr>
              <w:pStyle w:val="Compact"/>
              <w:jc w:val="left"/>
            </w:pPr>
            <w:r>
              <w:t xml:space="preserve">Hardware manufacture</w:t>
            </w:r>
          </w:p>
        </w:tc>
        <w:tc>
          <w:tcPr/>
          <w:p>
            <w:pPr>
              <w:pStyle w:val="Compact"/>
              <w:jc w:val="left"/>
            </w:pPr>
            <w:r>
              <w:t xml:space="preserve">Physical data-centre capacity (graduated)</w:t>
            </w:r>
          </w:p>
        </w:tc>
        <w:tc>
          <w:tcPr/>
          <w:p>
            <w:pPr>
              <w:pStyle w:val="Compact"/>
              <w:jc w:val="left"/>
            </w:pPr>
            <w:r>
              <w:t xml:space="preserve">No activity boundary; firm scale only</w:t>
            </w:r>
          </w:p>
        </w:tc>
      </w:tr>
      <w:tr>
        <w:tc>
          <w:tcPr/>
          <w:p>
            <w:pPr>
              <w:pStyle w:val="Compact"/>
              <w:jc w:val="left"/>
            </w:pPr>
            <w:r>
              <w:t xml:space="preserve">Trajectory classification (Bianchi et al., 2024)</w:t>
            </w:r>
          </w:p>
        </w:tc>
        <w:tc>
          <w:tcPr/>
          <w:p>
            <w:pPr>
              <w:pStyle w:val="Compact"/>
              <w:jc w:val="left"/>
            </w:pPr>
            <w:r>
              <w:t xml:space="preserve">Trapped, structural progress</w:t>
            </w:r>
          </w:p>
        </w:tc>
        <w:tc>
          <w:tcPr/>
          <w:p>
            <w:pPr>
              <w:pStyle w:val="Compact"/>
              <w:jc w:val="left"/>
            </w:pPr>
            <w:r>
              <w:t xml:space="preserve">Threshold-crossing, no trap history</w:t>
            </w:r>
          </w:p>
        </w:tc>
        <w:tc>
          <w:tcPr/>
          <w:p>
            <w:pPr>
              <w:pStyle w:val="Compact"/>
              <w:jc w:val="left"/>
            </w:pPr>
            <w:r>
              <w:t xml:space="preserve">Trapped, same category as Thailand</w:t>
            </w:r>
          </w:p>
        </w:tc>
        <w:tc>
          <w:tcPr/>
          <w:p>
            <w:pPr>
              <w:pStyle w:val="Compact"/>
              <w:jc w:val="left"/>
            </w:pPr>
            <w:r>
              <w:t xml:space="preserve">Threshold-crossing, prior trap at lower band</w:t>
            </w:r>
          </w:p>
        </w:tc>
      </w:tr>
    </w:tbl>
    <w:p>
      <w:pPr>
        <w:pStyle w:val="BodyText"/>
      </w:pPr>
      <w:r>
        <w:rPr>
          <w:iCs/>
          <w:i/>
        </w:rPr>
        <w:t xml:space="preserve">Note.</w:t>
      </w:r>
      <w:r>
        <w:t xml:space="preserve"> </w:t>
      </w:r>
      <w:r>
        <w:t xml:space="preserve">Figures are approximate, converted from local currency at the rate when each instrument was coded</w:t>
      </w:r>
      <w:r>
        <w:t xml:space="preserve"> </w:t>
      </w:r>
      <w:r>
        <w:rPr>
          <w:bCs/>
          <w:b/>
        </w:rPr>
        <w:t xml:space="preserve">[PENDING: dates and rates]</w:t>
      </w:r>
      <w:r>
        <w:t xml:space="preserve">. Constructed from the primary documents in Table 2. DESAC = Digital Ecosystem Acceleration scheme; FIRB = Fiscal Incentives Review Board.</w:t>
      </w:r>
    </w:p>
    <w:p>
      <w:pPr>
        <w:pStyle w:val="BodyText"/>
      </w:pPr>
      <w:r>
        <w:t xml:space="preserve">We read the table along each dimension.</w:t>
      </w:r>
    </w:p>
    <w:p>
      <w:pPr>
        <w:pStyle w:val="BodyText"/>
      </w:pPr>
      <w:r>
        <w:rPr>
          <w:bCs/>
          <w:b/>
        </w:rPr>
        <w:t xml:space="preserve">Layer.</w:t>
      </w:r>
      <w:r>
        <w:t xml:space="preserve"> </w:t>
      </w:r>
      <w:r>
        <w:t xml:space="preserve">Thailand and Malaysia draw the boundary at data-centre capacity; Vietnam at hardware manufacture; the Philippines draws no boundary by activity. All four make the application layer accessible.</w:t>
      </w:r>
    </w:p>
    <w:p>
      <w:pPr>
        <w:pStyle w:val="BodyText"/>
      </w:pPr>
      <w:r>
        <w:rPr>
          <w:bCs/>
          <w:b/>
        </w:rPr>
        <w:t xml:space="preserve">Scale.</w:t>
      </w:r>
      <w:r>
        <w:t xml:space="preserve"> </w:t>
      </w:r>
      <w:r>
        <w:t xml:space="preserve">Entry thresholds at the application layer are low in every country (about US$11,000 to 42,000, or none stated). At the data-centre layer they range from about US$550,000 (Malaysia, entry tier) to about US$140 million (Thailand) and US$220 million (Malaysia, top tier). Vietnam states none, and the Philippines applies one firm-scale tier (PHP 15 billion) that is not specific to the layer.</w:t>
      </w:r>
    </w:p>
    <w:p>
      <w:pPr>
        <w:pStyle w:val="BodyText"/>
      </w:pPr>
      <w:r>
        <w:rPr>
          <w:bCs/>
          <w:b/>
        </w:rPr>
        <w:t xml:space="preserve">Vintage.</w:t>
      </w:r>
      <w:r>
        <w:t xml:space="preserve"> </w:t>
      </w:r>
      <w:r>
        <w:t xml:space="preserve">Only Vietnam has an explicit startup track. Thailand’s most generous research tier and the Philippines’ escalation tier presuppose scale or a revenue base. Malaysia’s lowest tier presupposes a fixed compliance cost.</w:t>
      </w:r>
    </w:p>
    <w:p>
      <w:pPr>
        <w:pStyle w:val="BodyText"/>
      </w:pPr>
      <w:r>
        <w:rPr>
          <w:bCs/>
          <w:b/>
        </w:rPr>
        <w:t xml:space="preserve">Delivery.</w:t>
      </w:r>
      <w:r>
        <w:t xml:space="preserve"> </w:t>
      </w:r>
      <w:r>
        <w:t xml:space="preserve">Three of the four deliver the accessible tier entirely through indirect, tax-based instruments, which presuppose taxable profit. Only Vietnam adds a direct instrument (equity access).</w:t>
      </w:r>
    </w:p>
    <w:p>
      <w:pPr>
        <w:pStyle w:val="BodyText"/>
      </w:pPr>
      <w:r>
        <w:rPr>
          <w:bCs/>
          <w:b/>
        </w:rPr>
        <w:t xml:space="preserve">Is the pattern specific to AI?</w:t>
      </w:r>
      <w:r>
        <w:t xml:space="preserve"> </w:t>
      </w:r>
      <w:r>
        <w:t xml:space="preserve">The Philippines’ uniform scale tiers and Thailand’s competitiveness mechanism look like general investment-promotion templates that AI was placed under, a reading consistent with H3.</w:t>
      </w:r>
      <w:r>
        <w:t xml:space="preserve"> </w:t>
      </w:r>
      <w:r>
        <w:rPr>
          <w:bCs/>
          <w:b/>
        </w:rPr>
        <w:t xml:space="preserve">[PENDING: confirm by comparing each AI-related instrument with the same country’s pre-AI instruments for other sectors; this requires the general-instrument coding in Section 3.3.]</w:t>
      </w:r>
    </w:p>
    <w:p>
      <w:pPr>
        <w:pStyle w:val="BodyText"/>
      </w:pPr>
      <w:r>
        <w:rPr>
          <w:bCs/>
          <w:b/>
        </w:rPr>
        <w:t xml:space="preserve">Why does Vietnam differ?</w:t>
      </w:r>
      <w:r>
        <w:t xml:space="preserve"> </w:t>
      </w:r>
      <w:r>
        <w:t xml:space="preserve">The most direct explanation is the difference in instrument type noted in Section 4.2: a priority list without capital rules, against activity-specific thresholds. Vietnam’s law is also the most recent of the four, written after cloud and AI became explicit policy priorities. We offer these as hypotheses; we cannot test them with the present data.</w:t>
      </w:r>
    </w:p>
    <w:p>
      <w:pPr>
        <w:pStyle w:val="BodyText"/>
      </w:pPr>
      <w:r>
        <w:t xml:space="preserve">The regularity common to all four countries is narrower than a bifurcation claim, and better supported: none provides an AI-related instrument for compute provision below facility scale. Incentives exist for building data centres and, in Vietnam and the Philippines, for providing cloud services. None is aimed at the intermediate forms through which smaller firms obtain or supply compute, such as colocation tenancy, modular or edge deployment, or resale of leased capacity. Section 5.1 assesses what explains it.</w:t>
      </w:r>
    </w:p>
    <w:bookmarkEnd w:id="37"/>
    <w:bookmarkEnd w:id="38"/>
    <w:bookmarkStart w:id="43" w:name="discussion"/>
    <w:p>
      <w:pPr>
        <w:pStyle w:val="Heading2"/>
      </w:pPr>
      <w:r>
        <w:t xml:space="preserve">5. Discussion</w:t>
      </w:r>
    </w:p>
    <w:bookmarkStart w:id="39" w:name="cost-necessity-versus-incentive-design"/>
    <w:p>
      <w:pPr>
        <w:pStyle w:val="Heading3"/>
      </w:pPr>
      <w:r>
        <w:t xml:space="preserve">5.1 Cost necessity versus incentive design</w:t>
      </w:r>
    </w:p>
    <w:p>
      <w:pPr>
        <w:pStyle w:val="FirstParagraph"/>
      </w:pPr>
      <w:r>
        <w:t xml:space="preserve">The most serious challenge to a design reading is H1: high thresholds at the infrastructure layer reflect the real cost of building data centres. Published benchmarks let us assess this. Global average data-centre construction cost reached about US$10.7 million per megawatt in 2025, up from US$6 to 8 million before 2022 (Turner and Townsend, 2025).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hyperscale definition]</w:t>
      </w:r>
      <w:r>
        <w:t xml:space="preserve">.</w:t>
      </w:r>
    </w:p>
    <w:p>
      <w:pPr>
        <w:pStyle w:val="BodyText"/>
      </w:pPr>
      <w:r>
        <w:t xml:space="preserve">We therefore concede that the threshold is not set at an arbitrary or unattainable level relative to construction cost. H1 accounts for the height of the infrastructure threshold (prediction P1a), and the software-to-infrastructure gap should not be read as evidence of bias.</w:t>
      </w:r>
    </w:p>
    <w:p>
      <w:pPr>
        <w:pStyle w:val="BodyText"/>
      </w:pPr>
      <w:r>
        <w:t xml:space="preserve">What H1 does not account for is the absence of intermediate instruments (P1b). The prediction holds only if no smaller viable scale of provision exists. That auxiliary assumption can be checked, and it appears not to hold. A single eight-accelerator server draws roughly twelve kilowatts</w:t>
      </w:r>
      <w:r>
        <w:t xml:space="preserve"> </w:t>
      </w:r>
      <w:r>
        <w:rPr>
          <w:bCs/>
          <w:b/>
        </w:rPr>
        <w:t xml:space="preserve">[CITATION NEEDED: manufacturer specification]</w:t>
      </w:r>
      <w:r>
        <w:t xml:space="preserve">, and commercial colocation providers accept deployments in the five-to-twenty-kilowatt range without megawatt minimums</w:t>
      </w:r>
      <w:r>
        <w:t xml:space="preserve"> </w:t>
      </w:r>
      <w:r>
        <w:rPr>
          <w:bCs/>
          <w:b/>
        </w:rPr>
        <w:t xml:space="preserve">[CITATION NEEDED: provider terms or industry source]</w:t>
      </w:r>
      <w:r>
        <w:t xml:space="preserve">. Firms can and do provide AI compute at this scale. A cost account predicts a high threshold for facility construction. It does not predict the absence of any instrument for compute provision two to three orders of magnitude below facility scale (a facility of tens of megawatts against a rack of ten to twenty kilowatts), while instruments exist for software development at the scale of a small team. Both H2 and H3 predict this absence, with different origins. The absence is a design outcome and not a cost constraint, subject to two checks in Section 3.3 that are still pending: the search protocol and the coding of general-purpose instruments.</w:t>
      </w:r>
    </w:p>
    <w:bookmarkEnd w:id="39"/>
    <w:bookmarkStart w:id="40"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w:t>
      </w:r>
    </w:p>
    <w:p>
      <w:pPr>
        <w:pStyle w:val="BodyText"/>
      </w:pPr>
      <w:r>
        <w:t xml:space="preserve">Vietnam’s confirmed infrastructure investment is domestic and concentrated in its largest conglomerate. This also does not show that domestic incumbents have captured the market or the incentive system. That conclusion would need further evidence of the kind Doner and Schneider (2016) discuss: restrictions on competitor entry, discriminatory distribution of support, or constraints on technology transfer and learning. In our data the incentive rules do not exclude other firms from the compute layer (Section 4.2), so the rules do not show capture.</w:t>
      </w:r>
    </w:p>
    <w:p>
      <w:pPr>
        <w:pStyle w:val="BodyText"/>
      </w:pPr>
      <w:r>
        <w:t xml:space="preserve">The two country patterns are different phenomena and imply different questions. In Thailand the question is whether technology-transfer or local-content conditions on foreign investment would change the learning domestic firms gain. In Vietnam it is whether competition or access conditions for smaller firms matter in a market that a single conglomerate leads. Whether Thailand’s ownership gradient holds elsewhere requires approval data these governments do not publish in comparable form.</w:t>
      </w:r>
    </w:p>
    <w:bookmarkEnd w:id="40"/>
    <w:bookmarkStart w:id="41" w:name="what-the-evidence-supports"/>
    <w:p>
      <w:pPr>
        <w:pStyle w:val="Heading3"/>
      </w:pPr>
      <w:r>
        <w:t xml:space="preserve">5.3 What the evidence supports</w:t>
      </w:r>
    </w:p>
    <w:p>
      <w:pPr>
        <w:pStyle w:val="FirstParagraph"/>
      </w:pPr>
      <w:r>
        <w:t xml:space="preserve">Table 4 applies the rubric of Table 1 to each item of evidence.</w:t>
      </w:r>
    </w:p>
    <w:p>
      <w:pPr>
        <w:pStyle w:val="BodyText"/>
      </w:pPr>
      <w:r>
        <w:rPr>
          <w:bCs/>
          <w:b/>
        </w:rPr>
        <w:t xml:space="preserve">Table 4. Evidence matrix: how each explanation fares, with the evidence that would change the rating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Threshold gap between software and physical infrastructure (Thailand, Malaysia)</w:t>
            </w:r>
          </w:p>
        </w:tc>
        <w:tc>
          <w:tcPr/>
          <w:p>
            <w:pPr>
              <w:pStyle w:val="Compact"/>
              <w:jc w:val="left"/>
            </w:pPr>
            <w:r>
              <w:t xml:space="preserve">E</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all three compatible</w:t>
            </w:r>
          </w:p>
        </w:tc>
        <w:tc>
          <w:tcPr/>
          <w:p>
            <w:pPr>
              <w:pStyle w:val="Compact"/>
              <w:jc w:val="left"/>
            </w:pPr>
            <w:r>
              <w:t xml:space="preserve">Not diagnostic whatever the verification result</w:t>
            </w:r>
          </w:p>
        </w:tc>
      </w:tr>
      <w:tr>
        <w:tc>
          <w:tcPr/>
          <w:p>
            <w:pPr>
              <w:pStyle w:val="Compact"/>
              <w:jc w:val="left"/>
            </w:pPr>
            <w:r>
              <w:t xml:space="preserve">E2</w:t>
            </w:r>
          </w:p>
        </w:tc>
        <w:tc>
          <w:tcPr/>
          <w:p>
            <w:pPr>
              <w:pStyle w:val="Compact"/>
              <w:jc w:val="left"/>
            </w:pPr>
            <w:r>
              <w:t xml:space="preserve">No AI-related instrument for compute provision below facility scale (all four; provisional, pending search protocol and general-instrument coding)</w:t>
            </w:r>
          </w:p>
        </w:tc>
        <w:tc>
          <w:tcPr/>
          <w:p>
            <w:pPr>
              <w:pStyle w:val="Compact"/>
              <w:jc w:val="left"/>
            </w:pPr>
            <w:r>
              <w:t xml:space="preserve">U (needs the auxiliary assumption of no viable small scale; see 5.1)</w:t>
            </w:r>
          </w:p>
        </w:tc>
        <w:tc>
          <w:tcPr/>
          <w:p>
            <w:pPr>
              <w:pStyle w:val="Compact"/>
              <w:jc w:val="left"/>
            </w:pPr>
            <w:r>
              <w:t xml:space="preserve">E</w:t>
            </w:r>
          </w:p>
        </w:tc>
        <w:tc>
          <w:tcPr/>
          <w:p>
            <w:pPr>
              <w:pStyle w:val="Compact"/>
              <w:jc w:val="left"/>
            </w:pPr>
            <w:r>
              <w:t xml:space="preserve">C</w:t>
            </w:r>
          </w:p>
        </w:tc>
        <w:tc>
          <w:tcPr/>
          <w:p>
            <w:pPr>
              <w:pStyle w:val="Compact"/>
              <w:jc w:val="left"/>
            </w:pPr>
            <w:r>
              <w:t xml:space="preserve">Moderate: depends on an auxiliary assumption and on pending checks</w:t>
            </w:r>
          </w:p>
        </w:tc>
        <w:tc>
          <w:tcPr/>
          <w:p>
            <w:pPr>
              <w:pStyle w:val="Compact"/>
              <w:jc w:val="left"/>
            </w:pPr>
            <w:r>
              <w:t xml:space="preserve">An applicable general or AI-specific instrument for colocation, resale or modular compute would move H2 to C. Evidence that sub-facility provision is not viable would move H1 to E</w:t>
            </w:r>
          </w:p>
        </w:tc>
      </w:tr>
      <w:tr>
        <w:tc>
          <w:tcPr/>
          <w:p>
            <w:pPr>
              <w:pStyle w:val="Compact"/>
              <w:jc w:val="left"/>
            </w:pPr>
            <w:r>
              <w:t xml:space="preserve">E3</w:t>
            </w:r>
          </w:p>
        </w:tc>
        <w:tc>
          <w:tcPr/>
          <w:p>
            <w:pPr>
              <w:pStyle w:val="Compact"/>
              <w:jc w:val="left"/>
            </w:pPr>
            <w:r>
              <w:t xml:space="preserve">Most generous research tier requires investment against an existing revenue base (Thailand)</w:t>
            </w:r>
          </w:p>
        </w:tc>
        <w:tc>
          <w:tcPr/>
          <w:p>
            <w:pPr>
              <w:pStyle w:val="Compact"/>
              <w:jc w:val="left"/>
            </w:pPr>
            <w:r>
              <w:t xml:space="preserve">U (applies to software, where cost rationale does not hold)</w:t>
            </w:r>
          </w:p>
        </w:tc>
        <w:tc>
          <w:tcPr/>
          <w:p>
            <w:pPr>
              <w:pStyle w:val="Compact"/>
              <w:jc w:val="left"/>
            </w:pPr>
            <w:r>
              <w:t xml:space="preserve">E</w:t>
            </w:r>
          </w:p>
        </w:tc>
        <w:tc>
          <w:tcPr/>
          <w:p>
            <w:pPr>
              <w:pStyle w:val="Compact"/>
              <w:jc w:val="left"/>
            </w:pPr>
            <w:r>
              <w:t xml:space="preserve">C (if the mechanism is cross-sectoral)</w:t>
            </w:r>
          </w:p>
        </w:tc>
        <w:tc>
          <w:tcPr/>
          <w:p>
            <w:pPr>
              <w:pStyle w:val="Compact"/>
              <w:jc w:val="left"/>
            </w:pPr>
            <w:r>
              <w:t xml:space="preserve">Moderate: depends on whether the mechanism is cross-sectoral</w:t>
            </w:r>
          </w:p>
        </w:tc>
        <w:tc>
          <w:tcPr/>
          <w:p>
            <w:pPr>
              <w:pStyle w:val="Compact"/>
              <w:jc w:val="left"/>
            </w:pPr>
            <w:r>
              <w:t xml:space="preserve">If the mechanism is a generic BOI tool, H3 becomes E and the rating falls to Weak between H2 and H3</w:t>
            </w:r>
          </w:p>
        </w:tc>
      </w:tr>
      <w:tr>
        <w:tc>
          <w:tcPr/>
          <w:p>
            <w:pPr>
              <w:pStyle w:val="Compact"/>
              <w:jc w:val="left"/>
            </w:pPr>
            <w:r>
              <w:t xml:space="preserve">E4</w:t>
            </w:r>
          </w:p>
        </w:tc>
        <w:tc>
          <w:tcPr/>
          <w:p>
            <w:pPr>
              <w:pStyle w:val="Compact"/>
              <w:jc w:val="left"/>
            </w:pPr>
            <w:r>
              <w:t xml:space="preserve">Auditor-verified annual declaration at the lowest capital tier (Malaysia)</w:t>
            </w:r>
          </w:p>
        </w:tc>
        <w:tc>
          <w:tcPr/>
          <w:p>
            <w:pPr>
              <w:pStyle w:val="Compact"/>
              <w:jc w:val="left"/>
            </w:pPr>
            <w:r>
              <w:t xml:space="preserve">U (fixed cost is not required by the technology)</w:t>
            </w:r>
          </w:p>
        </w:tc>
        <w:tc>
          <w:tcPr/>
          <w:p>
            <w:pPr>
              <w:pStyle w:val="Compact"/>
              <w:jc w:val="left"/>
            </w:pPr>
            <w:r>
              <w:t xml:space="preserve">E</w:t>
            </w:r>
          </w:p>
        </w:tc>
        <w:tc>
          <w:tcPr/>
          <w:p>
            <w:pPr>
              <w:pStyle w:val="Compact"/>
              <w:jc w:val="left"/>
            </w:pPr>
            <w:r>
              <w:t xml:space="preserve">E (generic compliance practice)</w:t>
            </w:r>
          </w:p>
        </w:tc>
        <w:tc>
          <w:tcPr/>
          <w:p>
            <w:pPr>
              <w:pStyle w:val="Compact"/>
              <w:jc w:val="left"/>
            </w:pPr>
            <w:r>
              <w:t xml:space="preserve">Moderate against H1 only; does not separate H2 from H3</w:t>
            </w:r>
          </w:p>
        </w:tc>
        <w:tc>
          <w:tcPr/>
          <w:p>
            <w:pPr>
              <w:pStyle w:val="Compact"/>
              <w:jc w:val="left"/>
            </w:pPr>
            <w:r>
              <w:t xml:space="preserve">Verification of the source text</w:t>
            </w:r>
          </w:p>
        </w:tc>
      </w:tr>
      <w:tr>
        <w:tc>
          <w:tcPr/>
          <w:p>
            <w:pPr>
              <w:pStyle w:val="Compact"/>
              <w:jc w:val="left"/>
            </w:pPr>
            <w:r>
              <w:t xml:space="preserve">E5</w:t>
            </w:r>
          </w:p>
        </w:tc>
        <w:tc>
          <w:tcPr/>
          <w:p>
            <w:pPr>
              <w:pStyle w:val="Compact"/>
              <w:jc w:val="left"/>
            </w:pPr>
            <w:r>
              <w:t xml:space="preserve">Official criticism of data-centre incentives on employment grounds, then restructuring (Malaysia)</w:t>
            </w:r>
          </w:p>
        </w:tc>
        <w:tc>
          <w:tcPr/>
          <w:p>
            <w:pPr>
              <w:pStyle w:val="Compact"/>
              <w:jc w:val="left"/>
            </w:pPr>
            <w:r>
              <w:t xml:space="preserve">E (capital-intensive projects yield little employment per unit of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shows that a problem was recognised, not its cause</w:t>
            </w:r>
          </w:p>
        </w:tc>
        <w:tc>
          <w:tcPr/>
          <w:p>
            <w:pPr>
              <w:pStyle w:val="Compact"/>
              <w:jc w:val="left"/>
            </w:pPr>
            <w:r>
              <w:t xml:space="preserve">Evidence that the criticism cited firm size or entry barriers</w:t>
            </w:r>
          </w:p>
        </w:tc>
      </w:tr>
      <w:tr>
        <w:tc>
          <w:tcPr/>
          <w:p>
            <w:pPr>
              <w:pStyle w:val="Compact"/>
              <w:jc w:val="left"/>
            </w:pPr>
            <w:r>
              <w:t xml:space="preserve">E6</w:t>
            </w:r>
          </w:p>
        </w:tc>
        <w:tc>
          <w:tcPr/>
          <w:p>
            <w:pPr>
              <w:pStyle w:val="Compact"/>
              <w:jc w:val="left"/>
            </w:pPr>
            <w:r>
              <w:t xml:space="preserve">Explicit startup track with direct equity access (Vietnam)</w:t>
            </w:r>
          </w:p>
        </w:tc>
        <w:tc>
          <w:tcPr/>
          <w:p>
            <w:pPr>
              <w:pStyle w:val="Compact"/>
              <w:jc w:val="left"/>
            </w:pPr>
            <w:r>
              <w:t xml:space="preserve">C</w:t>
            </w:r>
          </w:p>
        </w:tc>
        <w:tc>
          <w:tcPr/>
          <w:p>
            <w:pPr>
              <w:pStyle w:val="Compact"/>
              <w:jc w:val="left"/>
            </w:pPr>
            <w:r>
              <w:t xml:space="preserve">U</w:t>
            </w:r>
          </w:p>
        </w:tc>
        <w:tc>
          <w:tcPr/>
          <w:p>
            <w:pPr>
              <w:pStyle w:val="Compact"/>
              <w:jc w:val="left"/>
            </w:pPr>
            <w:r>
              <w:t xml:space="preserve">C</w:t>
            </w:r>
          </w:p>
        </w:tc>
        <w:tc>
          <w:tcPr/>
          <w:p>
            <w:pPr>
              <w:pStyle w:val="Compact"/>
              <w:jc w:val="left"/>
            </w:pPr>
            <w:r>
              <w:t xml:space="preserve">Moderate against H2 at the application layer in Vietnam; limited to eligibility, not realised access</w:t>
            </w:r>
          </w:p>
        </w:tc>
        <w:tc>
          <w:tcPr/>
          <w:p>
            <w:pPr>
              <w:pStyle w:val="Compact"/>
              <w:jc w:val="left"/>
            </w:pPr>
            <w:r>
              <w:t xml:space="preserve">Evidence on how many startups use the track</w:t>
            </w:r>
          </w:p>
        </w:tc>
      </w:tr>
      <w:tr>
        <w:tc>
          <w:tcPr/>
          <w:p>
            <w:pPr>
              <w:pStyle w:val="Compact"/>
              <w:jc w:val="left"/>
            </w:pPr>
            <w:r>
              <w:t xml:space="preserve">E7</w:t>
            </w:r>
          </w:p>
        </w:tc>
        <w:tc>
          <w:tcPr/>
          <w:p>
            <w:pPr>
              <w:pStyle w:val="Compact"/>
              <w:jc w:val="left"/>
            </w:pPr>
            <w:r>
              <w:t xml:space="preserve">Cloud platforms in the top priority tier alongside AI applications (Vietnam)</w:t>
            </w:r>
          </w:p>
        </w:tc>
        <w:tc>
          <w:tcPr/>
          <w:p>
            <w:pPr>
              <w:pStyle w:val="Compact"/>
              <w:jc w:val="left"/>
            </w:pPr>
            <w:r>
              <w:t xml:space="preserve">C</w:t>
            </w:r>
          </w:p>
        </w:tc>
        <w:tc>
          <w:tcPr/>
          <w:p>
            <w:pPr>
              <w:pStyle w:val="Compact"/>
              <w:jc w:val="left"/>
            </w:pPr>
            <w:r>
              <w:t xml:space="preserve">U at the compute layer</w:t>
            </w:r>
          </w:p>
        </w:tc>
        <w:tc>
          <w:tcPr/>
          <w:p>
            <w:pPr>
              <w:pStyle w:val="Compact"/>
              <w:jc w:val="left"/>
            </w:pPr>
            <w:r>
              <w:t xml:space="preserve">C</w:t>
            </w:r>
          </w:p>
        </w:tc>
        <w:tc>
          <w:tcPr/>
          <w:p>
            <w:pPr>
              <w:pStyle w:val="Compact"/>
              <w:jc w:val="left"/>
            </w:pPr>
            <w:r>
              <w:t xml:space="preserve">Weak to moderate: rests on one line item after recoding of edge cameras and digital twins</w:t>
            </w:r>
          </w:p>
        </w:tc>
        <w:tc>
          <w:tcPr/>
          <w:p>
            <w:pPr>
              <w:pStyle w:val="Compact"/>
              <w:jc w:val="left"/>
            </w:pPr>
            <w:r>
              <w:t xml:space="preserve">Recoding of Table S1 row 12; text of Decision 21/2026</w:t>
            </w:r>
          </w:p>
        </w:tc>
      </w:tr>
      <w:tr>
        <w:tc>
          <w:tcPr/>
          <w:p>
            <w:pPr>
              <w:pStyle w:val="Compact"/>
              <w:jc w:val="left"/>
            </w:pPr>
            <w:r>
              <w:t xml:space="preserve">E8</w:t>
            </w:r>
          </w:p>
        </w:tc>
        <w:tc>
          <w:tcPr/>
          <w:p>
            <w:pPr>
              <w:pStyle w:val="Compact"/>
              <w:jc w:val="left"/>
            </w:pPr>
            <w:r>
              <w:t xml:space="preserve">Firm-scale tiers applied uniformly across activity types (Philippines)</w:t>
            </w:r>
          </w:p>
        </w:tc>
        <w:tc>
          <w:tcPr/>
          <w:p>
            <w:pPr>
              <w:pStyle w:val="Compact"/>
              <w:jc w:val="left"/>
            </w:pPr>
            <w:r>
              <w:t xml:space="preserve">U (capital need differs by layer, the tiers do not)</w:t>
            </w:r>
          </w:p>
        </w:tc>
        <w:tc>
          <w:tcPr/>
          <w:p>
            <w:pPr>
              <w:pStyle w:val="Compact"/>
              <w:jc w:val="left"/>
            </w:pPr>
            <w:r>
              <w:t xml:space="preserve">C</w:t>
            </w:r>
          </w:p>
        </w:tc>
        <w:tc>
          <w:tcPr/>
          <w:p>
            <w:pPr>
              <w:pStyle w:val="Compact"/>
              <w:jc w:val="left"/>
            </w:pPr>
            <w:r>
              <w:t xml:space="preserve">E</w:t>
            </w:r>
          </w:p>
        </w:tc>
        <w:tc>
          <w:tcPr/>
          <w:p>
            <w:pPr>
              <w:pStyle w:val="Compact"/>
              <w:jc w:val="left"/>
            </w:pPr>
            <w:r>
              <w:t xml:space="preserve">Moderate for H3 over H1; does not separate H2 from H3</w:t>
            </w:r>
          </w:p>
        </w:tc>
        <w:tc>
          <w:tcPr/>
          <w:p>
            <w:pPr>
              <w:pStyle w:val="Compact"/>
              <w:jc w:val="left"/>
            </w:pPr>
            <w:r>
              <w:t xml:space="preserve">Pre-AI instruments showing the same tiers</w:t>
            </w:r>
          </w:p>
        </w:tc>
      </w:tr>
      <w:tr>
        <w:tc>
          <w:tcPr/>
          <w:p>
            <w:pPr>
              <w:pStyle w:val="Compact"/>
              <w:jc w:val="left"/>
            </w:pPr>
            <w:r>
              <w:t xml:space="preserve">E9</w:t>
            </w:r>
          </w:p>
        </w:tc>
        <w:tc>
          <w:tcPr/>
          <w:p>
            <w:pPr>
              <w:pStyle w:val="Compact"/>
              <w:jc w:val="left"/>
            </w:pPr>
            <w:r>
              <w:t xml:space="preserve">Thai-held share of capital falls with depth into the stack (46, 15, 0 per cent; Thailand)</w:t>
            </w:r>
          </w:p>
        </w:tc>
        <w:tc>
          <w:tcPr/>
          <w:p>
            <w:pPr>
              <w:pStyle w:val="Compact"/>
              <w:jc w:val="left"/>
            </w:pPr>
            <w:r>
              <w:t xml:space="preserve">E (capital-intensive layers attract deep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descriptive; does not discriminate</w:t>
            </w:r>
          </w:p>
        </w:tc>
        <w:tc>
          <w:tcPr/>
          <w:p>
            <w:pPr>
              <w:pStyle w:val="Compact"/>
              <w:jc w:val="left"/>
            </w:pPr>
            <w:r>
              <w:t xml:space="preserve">Project-level data and evidence on excluded domestic applicants</w:t>
            </w:r>
          </w:p>
        </w:tc>
      </w:tr>
    </w:tbl>
    <w:p>
      <w:pPr>
        <w:pStyle w:val="BodyText"/>
      </w:pPr>
      <w:r>
        <w:rPr>
          <w:iCs/>
          <w:i/>
        </w:rPr>
        <w:t xml:space="preserve">Note.</w:t>
      </w:r>
      <w:r>
        <w:t xml:space="preserve"> </w:t>
      </w:r>
      <w:r>
        <w:t xml:space="preserve">E = expected; C = compatible; U = unexpected; X = contradicted. The rubric is in Table 1. Ratings of rows that depend on unverified coding are provisional until the verification and reliability checks are complete.</w:t>
      </w:r>
    </w:p>
    <w:p>
      <w:pPr>
        <w:pStyle w:val="BodyText"/>
      </w:pPr>
      <w:r>
        <w:t xml:space="preserve">Three results follow. First, H1 (cost necessity) is well supported for the height of the infrastructure thresholds (E1) and for the ownership pattern (E9), and the data cannot distinguish a design reading from it on those points. Second, H1 is weakened by E2, E3, E4 and E8, which it can accommodate only through auxiliary assumptions. Third, H2 and H3 are difficult to separate: E2, E3 and E4 are expected under both, and only E8 favours H3 over H2 in a clear way. This paper therefore supports a claim that the pattern is</w:t>
      </w:r>
      <w:r>
        <w:t xml:space="preserve"> </w:t>
      </w:r>
      <w:r>
        <w:rPr>
          <w:iCs/>
          <w:i/>
        </w:rPr>
        <w:t xml:space="preserve">not only</w:t>
      </w:r>
      <w:r>
        <w:t xml:space="preserve"> </w:t>
      </w:r>
      <w:r>
        <w:t xml:space="preserve">cost-driven and is consistent with design or habit, but it does not isolate the origin.</w:t>
      </w:r>
    </w:p>
    <w:p>
      <w:pPr>
        <w:pStyle w:val="BodyText"/>
      </w:pPr>
      <w:r>
        <w:rPr>
          <w:bCs/>
          <w:b/>
        </w:rPr>
        <w:t xml:space="preserve">Sensitivity.</w:t>
      </w:r>
      <w:r>
        <w:t xml:space="preserve"> </w:t>
      </w:r>
      <w:r>
        <w:t xml:space="preserve">Dropping E2 leaves the case against H1 resting on E3, E4 and E8, which are individually moderate and depend on the checks listed in Table 4. Dropping E3 and E4 together, which both depend on unverified rows, leaves E2 and E8. Dropping E2 and E3 and E4 together leaves no moderate evidence against H1 beyond E8. The main conclusion therefore depends chiefly on E2, and we regard it as provisional until the search protocol and the general-instrument coding are complete. Reversing the rating of E5 does not change any conclusion, because that row is already weak.</w:t>
      </w:r>
    </w:p>
    <w:p>
      <w:pPr>
        <w:pStyle w:val="BodyText"/>
      </w:pPr>
      <w:r>
        <w:rPr>
          <w:bCs/>
          <w:b/>
        </w:rPr>
        <w:t xml:space="preserve">Falsification.</w:t>
      </w:r>
      <w:r>
        <w:t xml:space="preserve"> </w:t>
      </w:r>
      <w:r>
        <w:t xml:space="preserve">The claim that sub-facility compute is unaddressed would be falsified by finding, in any country, a general-purpose or AI-specific instrument that a colocation operator or compute reseller could use on the same terms as a software firm. The claim that H1 is insufficient would be falsified by showing that the smallest commercially viable AI compute provider is above the facility threshold in each country.</w:t>
      </w:r>
    </w:p>
    <w:p>
      <w:pPr>
        <w:pStyle w:val="BodyText"/>
      </w:pPr>
      <w:r>
        <w:rPr>
          <w:bCs/>
          <w:b/>
        </w:rPr>
        <w:t xml:space="preserve">Competing interpretation.</w:t>
      </w:r>
      <w:r>
        <w:t xml:space="preserve"> </w:t>
      </w:r>
      <w:r>
        <w:t xml:space="preserve">A reading that this paper cannot rule out is that no middle-income economy can compete with hyperscale providers at frontier scale, and that concentrating domestic effort on applications while accepting infrastructure dependence is sound specialisation. The evidence that would separate the readings is (a) whether domestic sub-facility compute providers exist, grow and serve domestic AI firms without incentives, (b) the price and availability of compute for domestic AI firms, and (c) outcomes for domestic firms in the application layer. None of this is observed here. We therefore do not claim to adjudicate between a design gap and rational specialisation.</w:t>
      </w:r>
    </w:p>
    <w:bookmarkEnd w:id="41"/>
    <w:bookmarkStart w:id="42"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Our evidence for the same mechanism is limited to specific rules: Thailand’s deepest research tier (E3), Malaysia’s fixed compliance cost (E4), and the fact that three of four countries deliver the accessible tier by indirect instruments (Table 3). The comparison with Japan and the European Union should be drawn carefully. Their problem is misallocation among sectors for established firms, whereas ours is entry to a new technology stack, and the evidence for it is rules, not spending shares. The lesson we draw from Fuest et al. (2024) and Bahar et al. (2026) is about method: to look at instrument design, not aggregate spending. Doner and Schneider (2016) treat firm size as a cleavage that works through political weakness. We find that size can also be written into instruments, through thresholds and tiers, independently of the coalitions that form around them, but we do not observe coalitions. For the AI literature, our finding is relevant to the access scenarios of Cerutti et al. (2025): the macro outcome in those models depends on whether domestic firms can provide compute, and the rules we code show where that entry is and is not open. They do not show what firms do with it.</w:t>
      </w:r>
    </w:p>
    <w:bookmarkEnd w:id="42"/>
    <w:bookmarkEnd w:id="43"/>
    <w:bookmarkStart w:id="44" w:name="policy-implications"/>
    <w:p>
      <w:pPr>
        <w:pStyle w:val="Heading2"/>
      </w:pPr>
      <w:r>
        <w:t xml:space="preserve">6. Policy implications</w:t>
      </w:r>
    </w:p>
    <w:p>
      <w:pPr>
        <w:pStyle w:val="FirstParagraph"/>
      </w:pPr>
      <w:r>
        <w:t xml:space="preserve">Each implication follows from a specific finding and carries a condition and a risk.</w:t>
      </w:r>
    </w:p>
    <w:p>
      <w:pPr>
        <w:pStyle w:val="BodyText"/>
      </w:pPr>
      <w:r>
        <w:rPr>
          <w:bCs/>
          <w:b/>
        </w:rPr>
        <w:t xml:space="preserve">First, close the sub-facility gap on a pilot basis.</w:t>
      </w:r>
      <w:r>
        <w:t xml:space="preserve"> </w:t>
      </w:r>
      <w:r>
        <w:t xml:space="preserve">Finding: no country has an AI-related instrument below facility scale (E2). Options are extending eligibility to colocation tenancy, modular deployment or shared-capacity arrangements, or providing subsidised access to public or consortium compute. Vietnam’s startup track offers a template for the design principle: a parallel, more accessible pathway alongside the demanding thresholds, not a lowering of them. Its transfer depends on administrative capacity to screen eligible firms by technical or commercialisation criteria, not by capital. Risks: subsidising resale of foreign-owned capacity, and fiscal leakage if eligibility is loose. We have not costed any option, so we do not claim that the gap can be closed at modest fiscal cost. A small, time-limited pilot with defined eligibility would allow cost and take-up to be observed before scaling.</w:t>
      </w:r>
    </w:p>
    <w:p>
      <w:pPr>
        <w:pStyle w:val="BodyText"/>
      </w:pPr>
      <w:r>
        <w:rPr>
          <w:bCs/>
          <w:b/>
        </w:rPr>
        <w:t xml:space="preserve">Second, review instruments whose design presupposes profit or scale in layers that do not need it.</w:t>
      </w:r>
      <w:r>
        <w:t xml:space="preserve"> </w:t>
      </w:r>
      <w:r>
        <w:t xml:space="preserve">Findings: Thailand’s research tier (E3) and Malaysia’s auditor-verified declaration (E4). This follows Bahar et al. (2026), who recommend moving from indirect tax-based support towards instruments that do not presuppose profitability or scale. For Malaysia a lower-cost alternative could be risk-based sampling or a declaration verified in proportion to firm size. The political economy matters here: indirect instruments are administratively simple and fiscally less visible, so replacing them requires a delivery agency with capacity for direct support.</w:t>
      </w:r>
    </w:p>
    <w:p>
      <w:pPr>
        <w:pStyle w:val="BodyText"/>
      </w:pPr>
      <w:r>
        <w:rPr>
          <w:bCs/>
          <w:b/>
        </w:rPr>
        <w:t xml:space="preserve">Third, make infrastructure dependence an explicit choice.</w:t>
      </w:r>
      <w:r>
        <w:t xml:space="preserve"> </w:t>
      </w:r>
      <w:r>
        <w:t xml:space="preserve">If dependence on foreign providers at the infrastructure layer is an acceptable strategic trade-off, it should be stated as a choice, with attention to data-sovereignty implications, not left as a by-product of where thresholds fall. Because we cannot separate this from rational specialisation (Section 5.3), the recommendation is to collect the evidence that would decide it, namely domestic compute price and availability and the growth of small providers, before changing thresholds.</w:t>
      </w:r>
    </w:p>
    <w:bookmarkEnd w:id="44"/>
    <w:bookmarkStart w:id="45"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(Section 3.3). Our findings describe the opportunity structure, not who benefits. Linking rules to firm-level take-up, using venture-capital deal flow, patent data by applicant type and approval data by firm size, is the natural next step.</w:t>
      </w:r>
    </w:p>
    <w:p>
      <w:pPr>
        <w:numPr>
          <w:ilvl w:val="0"/>
          <w:numId w:val="1004"/>
        </w:numPr>
        <w:pStyle w:val="Compact"/>
      </w:pPr>
      <w:r>
        <w:rPr>
          <w:bCs/>
          <w:b/>
        </w:rPr>
        <w:t xml:space="preserve">Coding reliability and verification are pending.</w:t>
      </w:r>
      <w:r>
        <w:t xml:space="preserve"> </w:t>
      </w:r>
      <w:r>
        <w:t xml:space="preserve">The coding has not been checked by a second coder, and some rows have not been re-verified against the primary text.</w:t>
      </w:r>
      <w:r>
        <w:t xml:space="preserve"> </w:t>
      </w:r>
      <w:r>
        <w:rPr>
          <w:bCs/>
          <w:b/>
        </w:rPr>
        <w:t xml:space="preserve">[PENDING: replace with results.]</w:t>
      </w:r>
      <w:r>
        <w:t xml:space="preserve"> </w:t>
      </w:r>
      <w:r>
        <w:t xml:space="preserve">Until then, every finding that depends on a threshold or a classification should be read as provisional.</w:t>
      </w:r>
    </w:p>
    <w:p>
      <w:pPr>
        <w:numPr>
          <w:ilvl w:val="0"/>
          <w:numId w:val="1004"/>
        </w:numPr>
        <w:pStyle w:val="Compact"/>
      </w:pPr>
      <w:r>
        <w:rPr>
          <w:bCs/>
          <w:b/>
        </w:rPr>
        <w:t xml:space="preserve">The central claim is an absence.</w:t>
      </w:r>
      <w:r>
        <w:t xml:space="preserve"> </w:t>
      </w:r>
      <w:r>
        <w:t xml:space="preserve">Absence claims depend on the completeness of the search. Section 3.3 sets out the protocol that is still to be completed, and the sensitivity analysis shows that the main conclusion depends on this evidence (Section 5.3).</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 to the other countries.</w:t>
      </w:r>
    </w:p>
    <w:p>
      <w:pPr>
        <w:numPr>
          <w:ilvl w:val="0"/>
          <w:numId w:val="1004"/>
        </w:numPr>
        <w:pStyle w:val="Compact"/>
      </w:pPr>
      <w:r>
        <w:rPr>
          <w:bCs/>
          <w:b/>
        </w:rPr>
        <w:t xml:space="preserve">Four cases.</w:t>
      </w:r>
      <w:r>
        <w:t xml:space="preserve"> </w:t>
      </w:r>
      <w:r>
        <w:t xml:space="preserve">The countries are purposively selected (Section 3.1). The findings do not generalise to other economies, and the reasons for excluding Indonesia need to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Findings for Vietnam describe a general incentive system that is operational and an AI-specific layer that is still evolving.</w:t>
      </w:r>
    </w:p>
    <w:bookmarkEnd w:id="45"/>
    <w:bookmarkStart w:id="46" w:name="conclusion"/>
    <w:p>
      <w:pPr>
        <w:pStyle w:val="Heading2"/>
      </w:pPr>
      <w:r>
        <w:t xml:space="preserve">8. Conclusion</w:t>
      </w:r>
    </w:p>
    <w:p>
      <w:pPr>
        <w:pStyle w:val="FirstParagraph"/>
      </w:pPr>
      <w:r>
        <w:t xml:space="preserve">This paper asked who can enter the AI industry in four Southeast Asian economies under the incentive rules their governments have written. All four make application development accessible, and Vietnam adds a startup track with direct equity access. Above that layer the boundary falls in different places: at data-centre capacity in Thailand and Malaysia, at hardware manufacture in Vietnam, and by firm scale alone in the Philippines. What is common to all four is an absence. We found no AI-related instrument for compute provision below facility scale, and published cost benchmarks show that capital intensity alone does not account for it.</w:t>
      </w:r>
    </w:p>
    <w:p>
      <w:pPr>
        <w:pStyle w:val="BodyText"/>
      </w:pPr>
      <w:r>
        <w:t xml:space="preserve">The claims are limited by the evidence. We observe eligibility rules, not realised access or outcomes. The central absence is provisional until the search protocol and the coding of general-purpose instruments are complete, and the coding awaits an independent check. The data do not distinguish a design gap from rational specialisation, and they do not show that a middle-technology trap exists. They identify a risk indicator, an opportunity structure in which domestic firms can enter applications but have no stated route into compute supply below facility scale.</w:t>
      </w:r>
    </w:p>
    <w:p>
      <w:pPr>
        <w:pStyle w:val="BodyText"/>
      </w:pPr>
      <w:r>
        <w:t xml:space="preserve">The contribution is a primary-source map of how four governments have built their AI incentive systems, a four-layer, three-dimension coding framework that other countries and technologies can reuse, and an evidence matrix that shows which observations discriminate between explanations and which do not. The next step is to test the opportunity structure against firm behaviour: whether small compute providers exist, how domestic AI firms obtain compute, and whether the rules described here shape either.</w:t>
      </w:r>
    </w:p>
    <w:bookmarkEnd w:id="46"/>
    <w:bookmarkStart w:id="47"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Record</w:t>
      </w:r>
      <w:r>
        <w:t xml:space="preserve"> </w:t>
      </w:r>
      <w:r>
        <w:t xml:space="preserve">“</w:t>
      </w:r>
      <w:r>
        <w:t xml:space="preserve">none stated</w:t>
      </w:r>
      <w:r>
        <w:t xml:space="preserve">”</w:t>
      </w:r>
      <w:r>
        <w:t xml:space="preserve"> </w:t>
      </w:r>
      <w:r>
        <w:t xml:space="preserve">when the source states no threshold.</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w:t>
      </w:r>
      <w:r>
        <w:t xml:space="preserve"> </w:t>
      </w:r>
      <w:r>
        <w:rPr>
          <w:iCs/>
          <w:i/>
        </w:rPr>
        <w:t xml:space="preserve">No</w:t>
      </w:r>
      <w:r>
        <w:t xml:space="preserve"> </w:t>
      </w:r>
      <w:r>
        <w:t xml:space="preserve">where none exists, even if the general threshold is numerically low. Proportional requirements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bookmarkEnd w:id="47"/>
    <w:bookmarkStart w:id="48"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 guide to investment promotion 2025</w:t>
      </w:r>
      <w:r>
        <w:t xml:space="preserve">. Office of the Board of Investment.</w:t>
      </w:r>
    </w:p>
    <w:p>
      <w:pPr>
        <w:pStyle w:val="BodyText"/>
      </w:pPr>
      <w:r>
        <w:t xml:space="preserve">Board of Investment of Thailand. (2026).</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(2024).</w:t>
      </w:r>
      <w:r>
        <w:t xml:space="preserve"> </w:t>
      </w:r>
      <w:r>
        <w:rPr>
          <w:iCs/>
          <w:i/>
        </w:rPr>
        <w:t xml:space="preserve">Guidelines on Malaysia Digital (MD) tax incentive (new investment incentive)</w:t>
      </w:r>
      <w:r>
        <w:t xml:space="preserve">. MDEC.</w:t>
      </w:r>
    </w:p>
    <w:p>
      <w:pPr>
        <w:pStyle w:val="BodyText"/>
      </w:pPr>
      <w:r>
        <w:t xml:space="preserve">Malaysian Investment Development Authority. (2022).</w:t>
      </w:r>
      <w:r>
        <w:t xml:space="preserve"> </w:t>
      </w:r>
      <w:r>
        <w:rPr>
          <w:iCs/>
          <w:i/>
        </w:rPr>
        <w:t xml:space="preserve">Guidelines and procedures for the application of the Digital Ecosystem Acceleration (DESAC) scheme</w:t>
      </w:r>
      <w:r>
        <w:t xml:space="preserve">. MIDA.</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Incentive Design and Domestic Firms’ Entry into the AI Stack: Evidence from Thailand, Vietnam, Malaysia and the Philippines</dc:title>
  <dc:creator/>
  <cp:keywords/>
  <dcterms:created xsi:type="dcterms:W3CDTF">2026-10-09T01:50:44Z</dcterms:created>
  <dcterms:modified xsi:type="dcterms:W3CDTF">2026-10-09T01:50:44Z</dcterms:modified>
</cp:coreProperties>
</file>

<file path=docProps/custom.xml><?xml version="1.0" encoding="utf-8"?>
<Properties xmlns="http://schemas.openxmlformats.org/officeDocument/2006/custom-properties" xmlns:vt="http://schemas.openxmlformats.org/officeDocument/2006/docPropsVTypes"/>
</file>