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Incentive</w:t>
      </w:r>
      <w:r>
        <w:t xml:space="preserve"> </w:t>
      </w:r>
      <w:r>
        <w:t xml:space="preserve">Design</w:t>
      </w:r>
      <w:r>
        <w:t xml:space="preserve"> </w:t>
      </w:r>
      <w:r>
        <w:t xml:space="preserve">and</w:t>
      </w:r>
      <w:r>
        <w:t xml:space="preserve"> </w:t>
      </w:r>
      <w:r>
        <w:t xml:space="preserve">Domestic</w:t>
      </w:r>
      <w:r>
        <w:t xml:space="preserve"> </w:t>
      </w:r>
      <w:r>
        <w:t xml:space="preserve">Firms’</w:t>
      </w:r>
      <w:r>
        <w:t xml:space="preserve"> </w:t>
      </w:r>
      <w:r>
        <w:t xml:space="preserve">Entry</w:t>
      </w:r>
      <w:r>
        <w:t xml:space="preserve"> </w:t>
      </w:r>
      <w:r>
        <w:t xml:space="preserve">into</w:t>
      </w:r>
      <w:r>
        <w:t xml:space="preserve"> </w:t>
      </w:r>
      <w:r>
        <w:t xml:space="preserve">the</w:t>
      </w:r>
      <w:r>
        <w:t xml:space="preserve"> </w:t>
      </w:r>
      <w:r>
        <w:t xml:space="preserve">AI</w:t>
      </w:r>
      <w:r>
        <w:t xml:space="preserve"> </w:t>
      </w:r>
      <w:r>
        <w:t xml:space="preserve">Stack:</w:t>
      </w:r>
      <w:r>
        <w:t xml:space="preserve"> </w:t>
      </w:r>
      <w:r>
        <w:t xml:space="preserve">Evidence</w:t>
      </w:r>
      <w:r>
        <w:t xml:space="preserve"> </w:t>
      </w:r>
      <w:r>
        <w:t xml:space="preserve">from</w:t>
      </w:r>
      <w:r>
        <w:t xml:space="preserve"> </w:t>
      </w:r>
      <w:r>
        <w:t xml:space="preserve">Thailand,</w:t>
      </w:r>
      <w:r>
        <w:t xml:space="preserve"> </w:t>
      </w:r>
      <w:r>
        <w:t xml:space="preserve">Vietnam,</w:t>
      </w:r>
      <w:r>
        <w:t xml:space="preserve"> </w:t>
      </w:r>
      <w:r>
        <w:t xml:space="preserve">Malaysia</w:t>
      </w:r>
      <w:r>
        <w:t xml:space="preserve"> </w:t>
      </w:r>
      <w:r>
        <w:t xml:space="preserve">and</w:t>
      </w:r>
      <w:r>
        <w:t xml:space="preserve"> </w:t>
      </w:r>
      <w:r>
        <w:t xml:space="preserve">the</w:t>
      </w:r>
      <w:r>
        <w:t xml:space="preserve"> </w:t>
      </w:r>
      <w:r>
        <w:t xml:space="preserve">Philippines</w:t>
      </w:r>
    </w:p>
    <w:p>
      <w:pPr>
        <w:pStyle w:val="FirstParagraph"/>
      </w:pPr>
      <w:r>
        <w:rPr>
          <w:bCs/>
          <w:b/>
        </w:rPr>
        <w:t xml:space="preserve">[DRAFT FOR AUTHOR REVIEW. Items marked PENDING need data or confirmation that only the authors can supply. Items marked CITATION NEEDED or VERIFY need a source check before submission. Search the file for</w:t>
      </w:r>
      <w:r>
        <w:rPr>
          <w:bCs/>
          <w:b/>
        </w:rPr>
        <w:t xml:space="preserve"> </w:t>
      </w:r>
      <w:r>
        <w:rPr>
          <w:bCs/>
          <w:b/>
        </w:rPr>
        <w:t xml:space="preserve">“</w:t>
      </w:r>
      <w:r>
        <w:rPr>
          <w:bCs/>
          <w:b/>
        </w:rPr>
        <w:t xml:space="preserve">PENDING</w:t>
      </w:r>
      <w:r>
        <w:rPr>
          <w:bCs/>
          <w:b/>
        </w:rPr>
        <w:t xml:space="preserve">”</w:t>
      </w:r>
      <w:r>
        <w:rPr>
          <w:bCs/>
          <w:b/>
        </w:rPr>
        <w:t xml:space="preserve">,</w:t>
      </w:r>
      <w:r>
        <w:rPr>
          <w:bCs/>
          <w:b/>
        </w:rPr>
        <w:t xml:space="preserve"> </w:t>
      </w:r>
      <w:r>
        <w:rPr>
          <w:bCs/>
          <w:b/>
        </w:rPr>
        <w:t xml:space="preserve">“</w:t>
      </w:r>
      <w:r>
        <w:rPr>
          <w:bCs/>
          <w:b/>
        </w:rPr>
        <w:t xml:space="preserve">CITATION NEEDED</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VERIFY</w:t>
      </w:r>
      <w:r>
        <w:rPr>
          <w:bCs/>
          <w:b/>
        </w:rPr>
        <w:t xml:space="preserve">”</w:t>
      </w:r>
      <w:r>
        <w:rPr>
          <w:bCs/>
          <w:b/>
        </w:rPr>
        <w:t xml:space="preserve">.]</w:t>
      </w:r>
    </w:p>
    <w:bookmarkStart w:id="20" w:name="abstract"/>
    <w:p>
      <w:pPr>
        <w:pStyle w:val="Heading2"/>
      </w:pPr>
      <w:r>
        <w:t xml:space="preserve">Abstract</w:t>
      </w:r>
    </w:p>
    <w:p>
      <w:pPr>
        <w:pStyle w:val="FirstParagraph"/>
      </w:pPr>
      <w:r>
        <w:t xml:space="preserve">Governments in Southeast Asia have made artificial intelligence (AI) a pillar of industrial policy, but little is known about which firms their incentive instruments allow in. We ask how the eligibility rules of AI-related investment incentives in Thailand, Vietnam, Malaysia and the Philippines shape entry into four layers of the AI technology stack (applications and models, cloud and compute services, data-centre capacity, hardware), and whether the pattern is better explained by cost necessity, scale-favouring design or administrative habit. We code about 20 instruments from primary legal texts on five dimensions and, for Thailand, compare eligibility rules with published project approvals. All four countries make application-layer support accessible to small firms. Thailand and Malaysia put the main barrier at data-centre capacity, Vietnam puts its boundary at hardware manufacture, and the Philippines applies scale tiers regardless of activity. We found no AI-related instrument for compute provision below facility scale in any of the four. Published cost benchmarks explain the height of infrastructure thresholds but not this gap. The evidence describes legal eligibility, not realised access, and does not show that a middle-technology trap exists. It locates a specific design gap that firm-level studies can test.</w:t>
      </w:r>
    </w:p>
    <w:p>
      <w:pPr>
        <w:pStyle w:val="BodyText"/>
      </w:pPr>
      <w:r>
        <w:rPr>
          <w:bCs/>
          <w:b/>
        </w:rPr>
        <w:t xml:space="preserve">Keywords:</w:t>
      </w:r>
      <w:r>
        <w:t xml:space="preserve"> </w:t>
      </w:r>
      <w:r>
        <w:t xml:space="preserve">AI industrial policy; investment incentives; middle-income trap; middle-technology trap; policy design; Southeast Asia</w:t>
      </w:r>
    </w:p>
    <w:p>
      <w:pPr>
        <w:pStyle w:val="BodyText"/>
      </w:pPr>
      <w:r>
        <w:rPr>
          <w:bCs/>
          <w:b/>
        </w:rPr>
        <w:t xml:space="preserve">JEL classification:</w:t>
      </w:r>
      <w:r>
        <w:t xml:space="preserve"> </w:t>
      </w:r>
      <w:r>
        <w:t xml:space="preserve">O25; O38; O53; H25; L52</w:t>
      </w:r>
    </w:p>
    <w:bookmarkEnd w:id="20"/>
    <w:bookmarkStart w:id="21" w:name="introduction"/>
    <w:p>
      <w:pPr>
        <w:pStyle w:val="Heading2"/>
      </w:pPr>
      <w:r>
        <w:t xml:space="preserve">1. Introduction</w:t>
      </w:r>
    </w:p>
    <w:p>
      <w:pPr>
        <w:pStyle w:val="FirstParagraph"/>
      </w:pPr>
      <w:r>
        <w:t xml:space="preserve">A middle-income country that wants to keep growing needs domestic firms able to build, not only to adopt, new technology. AI puts this requirement under a new test. It bears on the move from middle to high income because it is a general-purpose technology whose productivity gains depend on who builds and controls it. If domestic firms can build models, applications and compute capacity, AI can raise total factor productivity, the variable on which middle-income slowdowns turn (Eichengreen, Park and Shin, 2014; Imam and Temple, 2026). If they can only adopt what foreign providers supply, more of the gain is likely to accrue elsewhere (Cerutti et al., 2025; Lehdonvirta, Wú and Hawkins, 2024). Governments in the region have taken up the question. Thailand, Vietnam, Malaysia and the Philippines have each written AI into their investment incentive systems, and each offers tax or other support to firms that meet stated eligibility rules. Those rules decide which firms can take part in which part of the AI industry. A rule that a firm must hold several hundred million dollars in capital, or must already earn taxable profit, admits some firms and excludes others, whatever the size of the budget behind it. Yet the existing literature measures how much governments spend or announce, not who can qualify.</w:t>
      </w:r>
    </w:p>
    <w:p>
      <w:pPr>
        <w:pStyle w:val="BodyText"/>
      </w:pPr>
      <w:r>
        <w:t xml:space="preserve">This paper studies who can qualify. Its questions are:</w:t>
      </w:r>
    </w:p>
    <w:p>
      <w:pPr>
        <w:numPr>
          <w:ilvl w:val="0"/>
          <w:numId w:val="1001"/>
        </w:numPr>
        <w:pStyle w:val="Compact"/>
      </w:pPr>
      <w:r>
        <w:rPr>
          <w:bCs/>
          <w:b/>
        </w:rPr>
        <w:t xml:space="preserve">RQ1.</w:t>
      </w:r>
      <w:r>
        <w:t xml:space="preserve"> </w:t>
      </w:r>
      <w:r>
        <w:t xml:space="preserve">How do eligibility rules differ across four layers of the AI technology stack, along three dimensions of accessibility: the layer an instrument covers, the scale it requires, and whether it accommodates new firms or presupposes an existing revenue base?</w:t>
      </w:r>
    </w:p>
    <w:p>
      <w:pPr>
        <w:numPr>
          <w:ilvl w:val="0"/>
          <w:numId w:val="1001"/>
        </w:numPr>
        <w:pStyle w:val="Compact"/>
      </w:pPr>
      <w:r>
        <w:rPr>
          <w:bCs/>
          <w:b/>
        </w:rPr>
        <w:t xml:space="preserve">RQ2.</w:t>
      </w:r>
      <w:r>
        <w:t xml:space="preserve"> </w:t>
      </w:r>
      <w:r>
        <w:t xml:space="preserve">Does any AI-related instrument address compute provision below the scale of a full data-centre facility, the scale at which a small domestic firm could realistically start?</w:t>
      </w:r>
    </w:p>
    <w:p>
      <w:pPr>
        <w:numPr>
          <w:ilvl w:val="0"/>
          <w:numId w:val="1001"/>
        </w:numPr>
        <w:pStyle w:val="Compact"/>
      </w:pPr>
      <w:r>
        <w:rPr>
          <w:bCs/>
          <w:b/>
        </w:rPr>
        <w:t xml:space="preserve">RQ3.</w:t>
      </w:r>
      <w:r>
        <w:t xml:space="preserve"> </w:t>
      </w:r>
      <w:r>
        <w:t xml:space="preserve">Is the pattern better explained by cost necessity (H1), scale-favouring design (H2) or administrative habit (H3)?</w:t>
      </w:r>
    </w:p>
    <w:p>
      <w:pPr>
        <w:pStyle w:val="FirstParagraph"/>
      </w:pPr>
      <w:r>
        <w:t xml:space="preserve">We code the primary legal texts of the four countries and, for Thailand, set the formal rules against published project approvals. Our main results are as follows. All four countries make application-layer support accessible to small firms, and Vietnam adds an explicit startup track with direct equity access. The boundary above the application layer falls in different places: at data-centre capacity in Thailand (a single capital cutoff) and Malaysia (a graduated scale), at hardware manufacture in Vietnam, and nowhere by activity in the Philippines, which applies firm-scale tiers uniformly. The regularity common to all four is an absence: we found no AI-related instrument aimed at compute provision below facility scale. Cost benchmarks account for the height of the infrastructure thresholds (the most visible pattern, and a weak test of design bias, as we show in Section 3.4) but not for this absence. We emphasise three limits at the outset. The evidence concerns legal eligibility, not realised access or firm outcomes. The coding has not yet been checked by a second coder. And the data do not show that any of the four countries is in a middle-technology trap.</w:t>
      </w:r>
    </w:p>
    <w:p>
      <w:pPr>
        <w:pStyle w:val="BodyText"/>
      </w:pPr>
      <w:r>
        <w:t xml:space="preserve">The paper makes three contributions. First, it provides a four-layer coding of AI incentive instruments that distinguishes layer, scale and firm vintage, which a software-versus-hardware split cannot do. Second, it identifies a specific design gap, the absence of instruments below facility scale, and tests it against the best available cost-based explanation. Third, it sets out an evidence matrix that separates the observations that discriminate between explanations from those that do not, so that readers can see which claims rest on which evidence.</w:t>
      </w:r>
    </w:p>
    <w:p>
      <w:pPr>
        <w:pStyle w:val="BodyText"/>
      </w:pPr>
      <w:r>
        <w:t xml:space="preserve">The rest of the paper is organised as follows. Section 2 relates the middle-income and middle-technology traps, reviews the AI literature, and derives the hypotheses. Section 3 describes the design. Section 4 reports the findings by country and across countries. Section 5 assesses the explanations. Section 6 draws policy implications and Section 7 states the limitations. Section 8 concludes.</w:t>
      </w:r>
    </w:p>
    <w:p>
      <w:pPr>
        <w:pStyle w:val="BodyText"/>
      </w:pPr>
      <w:r>
        <w:t xml:space="preserve">The reclassification of Vietnam and the Philippines as upper-middle-income economies on 1 July 2026 gives the question topical weight (Ang, 2026), but the case for the study does not rest on it. It rests on the fact that no existing study maps, instrument by instrument, who can enter the AI industry under the rules these governments have written.</w:t>
      </w:r>
    </w:p>
    <w:bookmarkEnd w:id="21"/>
    <w:bookmarkStart w:id="27" w:name="conceptual-framework-and-hypotheses"/>
    <w:p>
      <w:pPr>
        <w:pStyle w:val="Heading2"/>
      </w:pPr>
      <w:r>
        <w:t xml:space="preserve">2. Conceptual framework and hypotheses</w:t>
      </w:r>
    </w:p>
    <w:bookmarkStart w:id="22" w:name="Xfd11363327260168d9eeb647c78a271061b75d2"/>
    <w:p>
      <w:pPr>
        <w:pStyle w:val="Heading3"/>
      </w:pPr>
      <w:r>
        <w:t xml:space="preserve">2.1 Middle-income trap and middle-technology trap</w:t>
      </w:r>
    </w:p>
    <w:p>
      <w:pPr>
        <w:pStyle w:val="FirstParagraph"/>
      </w:pPr>
      <w:r>
        <w:t xml:space="preserve">The middle-income trap names a pattern in aggregate income. Gill and Kharas (2007) argued that middle-income economies must shift from diversification to specialisation, from investment-led to innovation-led growth, and from adapting technology to creating it. Eichengreen, Park and Shin (2012, 2014) located growth slowdowns near US$10,000 to 11,000 and US$15,000 to 16,000 per capita (2005 purchasing power) and attributed them mainly to falling total factor productivity. Imam and Temple (2026) find that capital intensity and human capital converge to the frontier over time but relative total factor productivity does not. Bianchi, Isabella, Martinis and Picasso (2024) classify trapped economies by the trajectory of export complexity, placing Thailand and Malaysia in the most favourable of three categories.</w:t>
      </w:r>
    </w:p>
    <w:p>
      <w:pPr>
        <w:pStyle w:val="BodyText"/>
      </w:pPr>
      <w:r>
        <w:t xml:space="preserve">The middle-technology trap concerns the technological composition of an economy. It has two lineages. The first, developed by Ke (2024) with reference to Zheng (2024), covers Malaysia, Thailand, Indonesia and the Philippines (the</w:t>
      </w:r>
      <w:r>
        <w:t xml:space="preserve"> </w:t>
      </w:r>
      <w:r>
        <w:t xml:space="preserve">“</w:t>
      </w:r>
      <w:r>
        <w:t xml:space="preserve">ASEAN Four</w:t>
      </w:r>
      <w:r>
        <w:t xml:space="preserve">”</w:t>
      </w:r>
      <w:r>
        <w:t xml:space="preserve">) and attributes stagnation to FDI-led industrialisation in which multinationals keep core technology at home and transfer only mature technology. The second begins with the argument that the European Union over-invests in mature mid-technology sectors at the expense of frontier activity (Fuest, Gros, Mengel, Presidente and Tirole, 2024). Bahar, Gadgin Matha, Hausmann and Segovia (2026) apply it to Japan: research intensity is near the top of the OECD, yet labour-productivity growth has been flat since 2000, because more than half of private research spending goes to mature industries while high-technology sectors receive 35 to 40 per cent. They attribute this to incentives delivered mainly through indirect tax credits, which presuppose taxable profit and scale and so favour large incumbents.</w:t>
      </w:r>
    </w:p>
    <w:p>
      <w:pPr>
        <w:pStyle w:val="BodyText"/>
      </w:pPr>
      <w:r>
        <w:t xml:space="preserve">The two traps are related but not equivalent, and the paper needs a position on how. We treat the middle-technology trap as a mechanism that can contribute to a middle-income trap, not as a synonym for it. The transmission runs through productivity: if domestic firms cannot move into the technology layers that carry rising returns, total factor productivity growth stalls, and stalled productivity growth is what the income-trap literature identifies as the proximate cause of slowdowns (Eichengreen, Park and Shin, 2014; Imam and Temple, 2026). The reverse does not hold. A country can be income-trapped for institutional reasons without being technologically trapped, and the middle-technology trap can also arise at other income levels. Japan, which was already a high-income economy in the period Bahar et al. (2026) study, shows exactly that. It is relevant here for a different reason than its income level: it shows that the mechanism (incentive design that channels support to mature activity and to firms able to use it) operates without any foreign actor and without a low income. If the mechanism can persist in a high-income economy with high research intensity, it can also operate earlier, while a middle-income country is still choosing which activities its incentives reach. The question for the four countries is therefore whether their AI incentive design could impede the transition from middle to high income by restricting domestic entry into the technology layers that carry rising returns. We follow the second lineage because it identifies a domestically generated mechanism, incentive design, that requires no foreign actor to operate. We also record the political-economy account of Doner and Schneider (2016), who argue that the trap reflects coalition failure, with business fragmented along cleavages such as firm size and foreign versus domestic ownership. Our analysis does not test coalitions, but their argument tells us what ownership patterns could and could not mean (Section 5.2).</w:t>
      </w:r>
    </w:p>
    <w:p>
      <w:pPr>
        <w:pStyle w:val="BodyText"/>
      </w:pPr>
      <w:r>
        <w:rPr>
          <w:bCs/>
          <w:b/>
        </w:rPr>
        <w:t xml:space="preserve">Operationalisation, and what this paper measures.</w:t>
      </w:r>
      <w:r>
        <w:t xml:space="preserve"> </w:t>
      </w:r>
      <w:r>
        <w:t xml:space="preserve">The existing literature identifies a middle-technology trap by outcomes: persistently low research intensity and limited indigenous capability (Ke, 2024), or the allocation of research spending between mature and high-technology sectors together with flat productivity growth (Bahar et al., 2026). This paper observes none of these outcomes. It does not measure a trap, and it does not estimate the probability of one. It identifies</w:t>
      </w:r>
      <w:r>
        <w:t xml:space="preserve"> </w:t>
      </w:r>
      <w:r>
        <w:rPr>
          <w:iCs/>
          <w:i/>
        </w:rPr>
        <w:t xml:space="preserve">features of incentive design that could contribute to a middle-technology trap</w:t>
      </w:r>
      <w:r>
        <w:t xml:space="preserve">, upstream of those outcomes. We define the feature of interest as follows: the instruments supporting AI let domestic firms enter the application layer, while the layers that supply compute are reachable only by firms already holding very large capital. We observe three indicators of it: (a) an eligibility asymmetry across layers, (b) the absence of intermediate-entry instruments, and (c) ownership concentration in approved projects where data exist. These indicators describe an opportunity structure for firms. Whether that structure leads to a trap depends on firm behaviour and outcomes that we do not observe.</w:t>
      </w:r>
      <w:r>
        <w:t xml:space="preserve"> </w:t>
      </w:r>
      <w:r>
        <w:rPr>
          <w:bCs/>
          <w:b/>
        </w:rPr>
        <w:t xml:space="preserve">[VERIFY: check how Ke (2024), Zheng (2024) and Bahar et al. (2026) operationalise the trap against the full texts, and cite the specific indicators they use.]</w:t>
      </w:r>
    </w:p>
    <w:bookmarkEnd w:id="22"/>
    <w:bookmarkStart w:id="23" w:name="X906a2f80e0b74498aa330f40d5287fb35743a8f"/>
    <w:p>
      <w:pPr>
        <w:pStyle w:val="Heading3"/>
      </w:pPr>
      <w:r>
        <w:t xml:space="preserve">2.2 AI: short-cycle opportunity or compute concentration</w:t>
      </w:r>
    </w:p>
    <w:p>
      <w:pPr>
        <w:pStyle w:val="FirstParagraph"/>
      </w:pPr>
      <w:r>
        <w:t xml:space="preserve">Two readings of AI compete. Lee (2013, 2019) argues that latecomers advance fastest in domains where knowledge becomes obsolete quickly, since such domains reward agility over accumulated advantage; AI plausibly fits. The sceptical reading holds that AI favours economies that already hold digital infrastructure, data and skilled labour (Abdurohman and Huang, 2026). Cerutti et al. (2025) find in a general-equilibrium model that AI productivity gains concentrate in advanced economies’ non-tradable sectors, and that under limited access output growth falls by about one percentage point in emerging markets excluding China and in low-income countries. Alonso, Berg, Kothari, Papageorgiou and Rehman (2020) find divergence from labour-substituting automation. For the offshoring route that the Philippines relies on, Schellekens and Skilling (2024) warn of erosion, Ide and Talamàs (2025, 2026) show that the outcome depends on how sophisticated AI becomes, and the OECD (2024) notes that soft-skill requirements limit cross-border substitution. On geography, Lehdonvirta, Wú and Hawkins (2024) divide the world into a</w:t>
      </w:r>
      <w:r>
        <w:t xml:space="preserve"> </w:t>
      </w:r>
      <w:r>
        <w:t xml:space="preserve">“</w:t>
      </w:r>
      <w:r>
        <w:t xml:space="preserve">Compute North</w:t>
      </w:r>
      <w:r>
        <w:t xml:space="preserve">”</w:t>
      </w:r>
      <w:r>
        <w:t xml:space="preserve">, a</w:t>
      </w:r>
      <w:r>
        <w:t xml:space="preserve"> </w:t>
      </w:r>
      <w:r>
        <w:t xml:space="preserve">“</w:t>
      </w:r>
      <w:r>
        <w:t xml:space="preserve">Compute South</w:t>
      </w:r>
      <w:r>
        <w:t xml:space="preserve">”</w:t>
      </w:r>
      <w:r>
        <w:t xml:space="preserve"> </w:t>
      </w:r>
      <w:r>
        <w:t xml:space="preserve">with inference capacity and a</w:t>
      </w:r>
      <w:r>
        <w:t xml:space="preserve"> </w:t>
      </w:r>
      <w:r>
        <w:t xml:space="preserve">“</w:t>
      </w:r>
      <w:r>
        <w:t xml:space="preserve">Compute Desert</w:t>
      </w:r>
      <w:r>
        <w:t xml:space="preserve">”</w:t>
      </w:r>
      <w:r>
        <w:t xml:space="preserve">. Lee, Wong, Intarakumnerd and Limapornvanich (2020) pose the same fork, window of opportunity or reinforced trap, for the Fourth Industrial Revolution in Southeast Asia, and Glawe and Wagner (2020) link human capital to the trap in the age of automation.</w:t>
      </w:r>
      <w:r>
        <w:t xml:space="preserve"> </w:t>
      </w:r>
      <w:r>
        <w:rPr>
          <w:bCs/>
          <w:b/>
        </w:rPr>
        <w:t xml:space="preserve">[VERIFY: check both papers’ findings against the full text before characterising them beyond their titles.]</w:t>
      </w:r>
    </w:p>
    <w:bookmarkEnd w:id="23"/>
    <w:bookmarkStart w:id="24" w:name="what-the-literature-leaves-open"/>
    <w:p>
      <w:pPr>
        <w:pStyle w:val="Heading3"/>
      </w:pPr>
      <w:r>
        <w:t xml:space="preserve">2.3 What the literature leaves open</w:t>
      </w:r>
    </w:p>
    <w:p>
      <w:pPr>
        <w:pStyle w:val="FirstParagraph"/>
      </w:pPr>
      <w:r>
        <w:t xml:space="preserve">These literatures yield a prediction but no mechanism at the level of policy. The macro models (Cerutti et al., 2025; Alonso et al., 2020) assume an access scenario and do not examine the instruments that determine it. The compute-geography work (Lehdonvirta et al., 2024, 2025) measures where capacity sits, not which policies shape whether domestic firms can provide it. Bahar et al. (2026) examine incentive design, but for research and development tax credits in one advanced economy, and not for AI or for the layers of a technology stack. What is missing is an instrument-level account of eligibility across the AI stack in middle-income economies. That is the gap this paper addresses. Because the macro literature turns on whether domestic firms can enter the layers that supply compute, entry rules are the right object of study.</w:t>
      </w:r>
    </w:p>
    <w:bookmarkEnd w:id="24"/>
    <w:bookmarkStart w:id="25" w:name="X19f9adcae35d4a28eb573e73187c4a263c2f6de"/>
    <w:p>
      <w:pPr>
        <w:pStyle w:val="Heading3"/>
      </w:pPr>
      <w:r>
        <w:t xml:space="preserve">2.4 The four-layer stack and how it structures the analysis</w:t>
      </w:r>
    </w:p>
    <w:p>
      <w:pPr>
        <w:pStyle w:val="FirstParagraph"/>
      </w:pPr>
      <w:r>
        <w:t xml:space="preserve">Existing treatments distinguish software from hardware. We code four layers: (i) applications and models, including domain-specific systems and language models; (ii) cloud and compute services, meaning the provision of computing capacity as a service from owned or leased facilities; (iii) physical data-centre capacity, meaning construction and operation of facilities; and (iv) hardware manufacture, mainly semiconductor design and fabrication. A country can treat layer (ii) as generously as layer (i) while restricting layer (iii), or can prioritise (i) and (ii) while relegating (iv). A binary split would classify these as the same. We use the layers to organise the empirical sections: each country is described layer by layer, and Table 3 sets the countries side by side.</w:t>
      </w:r>
    </w:p>
    <w:p>
      <w:pPr>
        <w:pStyle w:val="BodyText"/>
      </w:pPr>
      <w:r>
        <w:t xml:space="preserve">Firms also relate to compute in two ways. Some use it (an AI developer renting capacity) and some supply it (a cloud provider or colocation operator). Support for users and support for suppliers are different instruments. Our coding concentrates on supply, because the entry question for domestic compute capacity is a supply question, and records use-side instruments where they appear</w:t>
      </w:r>
      <w:r>
        <w:t xml:space="preserve"> </w:t>
      </w:r>
      <w:r>
        <w:rPr>
          <w:bCs/>
          <w:b/>
        </w:rPr>
        <w:t xml:space="preserve">[PENDING: use-side instruments such as compute vouchers are not yet systematically coded; see Section 3.3]</w:t>
      </w:r>
      <w:r>
        <w:t xml:space="preserve">.</w:t>
      </w:r>
    </w:p>
    <w:bookmarkEnd w:id="25"/>
    <w:bookmarkStart w:id="26" w:name="Xb2d60a2a59b2d84ca46f154a28b9fd1d06b84a8"/>
    <w:p>
      <w:pPr>
        <w:pStyle w:val="Heading3"/>
      </w:pPr>
      <w:r>
        <w:t xml:space="preserve">2.5 Three dimensions of accessibility, and three explanations</w:t>
      </w:r>
    </w:p>
    <w:p>
      <w:pPr>
        <w:pStyle w:val="FirstParagraph"/>
      </w:pPr>
      <w:r>
        <w:t xml:space="preserve">A high threshold is not the same as a barrier to new firms, since a capital-rich startup can meet a high capital requirement, and a low priority for an activity is not the same as blocked access. We therefore keep three dimensions apart.</w:t>
      </w:r>
    </w:p>
    <w:p>
      <w:pPr>
        <w:numPr>
          <w:ilvl w:val="0"/>
          <w:numId w:val="1002"/>
        </w:numPr>
        <w:pStyle w:val="Compact"/>
      </w:pPr>
      <w:r>
        <w:rPr>
          <w:bCs/>
          <w:b/>
        </w:rPr>
        <w:t xml:space="preserve">Layer.</w:t>
      </w:r>
      <w:r>
        <w:t xml:space="preserve"> </w:t>
      </w:r>
      <w:r>
        <w:t xml:space="preserve">Which activities does the instrument cover or prioritise?</w:t>
      </w:r>
    </w:p>
    <w:p>
      <w:pPr>
        <w:numPr>
          <w:ilvl w:val="0"/>
          <w:numId w:val="1002"/>
        </w:numPr>
        <w:pStyle w:val="Compact"/>
      </w:pPr>
      <w:r>
        <w:rPr>
          <w:bCs/>
          <w:b/>
        </w:rPr>
        <w:t xml:space="preserve">Scale.</w:t>
      </w:r>
      <w:r>
        <w:t xml:space="preserve"> </w:t>
      </w:r>
      <w:r>
        <w:t xml:space="preserve">What minimum capital, revenue or staffing does it require?</w:t>
      </w:r>
    </w:p>
    <w:p>
      <w:pPr>
        <w:numPr>
          <w:ilvl w:val="0"/>
          <w:numId w:val="1002"/>
        </w:numPr>
        <w:pStyle w:val="Compact"/>
      </w:pPr>
      <w:r>
        <w:rPr>
          <w:bCs/>
          <w:b/>
        </w:rPr>
        <w:t xml:space="preserve">Vintage.</w:t>
      </w:r>
      <w:r>
        <w:t xml:space="preserve"> </w:t>
      </w:r>
      <w:r>
        <w:t xml:space="preserve">Does it accommodate new firms (a startup track, direct equity access) or does it presuppose an existing revenue base or profit?</w:t>
      </w:r>
    </w:p>
    <w:p>
      <w:pPr>
        <w:pStyle w:val="FirstParagraph"/>
      </w:pPr>
      <w:r>
        <w:t xml:space="preserve">We use</w:t>
      </w:r>
      <w:r>
        <w:t xml:space="preserve"> </w:t>
      </w:r>
      <w:r>
        <w:t xml:space="preserve">“</w:t>
      </w:r>
      <w:r>
        <w:t xml:space="preserve">incumbent</w:t>
      </w:r>
      <w:r>
        <w:t xml:space="preserve">”</w:t>
      </w:r>
      <w:r>
        <w:t xml:space="preserve"> </w:t>
      </w:r>
      <w:r>
        <w:t xml:space="preserve">only for the third dimension. Three explanations of the observed patterns follow from the literature, and each makes predictions on these dimensions.</w:t>
      </w:r>
    </w:p>
    <w:p>
      <w:pPr>
        <w:numPr>
          <w:ilvl w:val="0"/>
          <w:numId w:val="1003"/>
        </w:numPr>
        <w:pStyle w:val="Compact"/>
      </w:pPr>
      <w:r>
        <w:rPr>
          <w:bCs/>
          <w:b/>
        </w:rPr>
        <w:t xml:space="preserve">H1, cost necessity.</w:t>
      </w:r>
      <w:r>
        <w:t xml:space="preserve"> </w:t>
      </w:r>
      <w:r>
        <w:t xml:space="preserve">Thresholds follow the capital intensity of each layer. It predicts that threshold height rises with layer capital intensity (P1a), that instruments are absent below a layer’s minimum viable scale (P1b), and that eligibility does not depend on vintage (P1c). Note that P1b holds only under an auxiliary assumption, that a smaller viable scale of provision does not exist. We examine that assumption in Section 5.1.</w:t>
      </w:r>
    </w:p>
    <w:p>
      <w:pPr>
        <w:numPr>
          <w:ilvl w:val="0"/>
          <w:numId w:val="1003"/>
        </w:numPr>
        <w:pStyle w:val="Compact"/>
      </w:pPr>
      <w:r>
        <w:rPr>
          <w:bCs/>
          <w:b/>
        </w:rPr>
        <w:t xml:space="preserve">H2, scale-favouring design.</w:t>
      </w:r>
      <w:r>
        <w:t xml:space="preserve"> </w:t>
      </w:r>
      <w:r>
        <w:t xml:space="preserve">The architecture raises entry costs for smaller or newer firms beyond what the technology requires, whatever the intent. It predicts missing intermediate tiers where a smaller viable scale exists (P2a), and instruments that presuppose profit, revenue or fixed compliance cost even in layers with low capital needs (P2b). This is the mechanism Bahar et al. (2026) identify for Japan.</w:t>
      </w:r>
    </w:p>
    <w:p>
      <w:pPr>
        <w:numPr>
          <w:ilvl w:val="0"/>
          <w:numId w:val="1003"/>
        </w:numPr>
        <w:pStyle w:val="Compact"/>
      </w:pPr>
      <w:r>
        <w:rPr>
          <w:bCs/>
          <w:b/>
        </w:rPr>
        <w:t xml:space="preserve">H3, administrative habit.</w:t>
      </w:r>
      <w:r>
        <w:t xml:space="preserve"> </w:t>
      </w:r>
      <w:r>
        <w:t xml:space="preserve">Instruments reuse generic scale or sector templates and were not designed around AI. It predicts identical scale tiers across activity types (P3a), rules that mirror pre-AI schemes (P3b), and gaps that reflect category definitions, not choices (P3c).</w:t>
      </w:r>
    </w:p>
    <w:p>
      <w:pPr>
        <w:pStyle w:val="FirstParagraph"/>
      </w:pPr>
      <w:r>
        <w:t xml:space="preserve">H2 and H3 can generate similar outcomes and differ mainly in origin. Legal texts alone separate H1 from the pair {H2, H3} better than they separate H2 from H3. We state this limit here, not in the discussion, because it governs how far the evidence can be read.</w:t>
      </w:r>
    </w:p>
    <w:bookmarkEnd w:id="26"/>
    <w:bookmarkEnd w:id="27"/>
    <w:bookmarkStart w:id="32" w:name="research-design"/>
    <w:p>
      <w:pPr>
        <w:pStyle w:val="Heading2"/>
      </w:pPr>
      <w:r>
        <w:t xml:space="preserve">3. Research design</w:t>
      </w:r>
    </w:p>
    <w:bookmarkStart w:id="28" w:name="X82b45403e28965bf26ffa7d15c4e094830edd58"/>
    <w:p>
      <w:pPr>
        <w:pStyle w:val="Heading3"/>
      </w:pPr>
      <w:r>
        <w:t xml:space="preserve">3.1 Scope, case selection and nested structure</w:t>
      </w:r>
    </w:p>
    <w:p>
      <w:pPr>
        <w:pStyle w:val="FirstParagraph"/>
      </w:pPr>
      <w:r>
        <w:t xml:space="preserve">The paper studies</w:t>
      </w:r>
      <w:r>
        <w:t xml:space="preserve"> </w:t>
      </w:r>
      <w:r>
        <w:rPr>
          <w:iCs/>
          <w:i/>
        </w:rPr>
        <w:t xml:space="preserve">legal eligibility</w:t>
      </w:r>
      <w:r>
        <w:t xml:space="preserve">, that is, who may qualify under the rules as written. It does not observe realised access, application costs, screening practice or firm outcomes. These limit what the findings can say and are discussed in Section 7.</w:t>
      </w:r>
    </w:p>
    <w:p>
      <w:pPr>
        <w:pStyle w:val="BodyText"/>
      </w:pPr>
      <w:r>
        <w:rPr>
          <w:bCs/>
          <w:b/>
        </w:rPr>
        <w:t xml:space="preserve">Case selection.</w:t>
      </w:r>
      <w:r>
        <w:t xml:space="preserve"> </w:t>
      </w:r>
      <w:r>
        <w:t xml:space="preserve">We selected countries that (i) are middle-income ASEAN economies, (ii) have AI-related investment incentives in force in the period studied, (iii) publish consolidated primary legal texts we can access, and (iv) span the range of income trajectories in Bianchi et al. (2024).</w:t>
      </w:r>
    </w:p>
    <w:p>
      <w:pPr>
        <w:pStyle w:val="BodyText"/>
      </w:pPr>
      <w:r>
        <w:rPr>
          <w:iCs/>
          <w:i/>
        </w:rPr>
        <w:t xml:space="preserve">Which trap the classifications refer to.</w:t>
      </w:r>
      <w:r>
        <w:t xml:space="preserve"> </w:t>
      </w:r>
      <w:r>
        <w:t xml:space="preserve">The labels</w:t>
      </w:r>
      <w:r>
        <w:t xml:space="preserve"> </w:t>
      </w:r>
      <w:r>
        <w:t xml:space="preserve">“</w:t>
      </w:r>
      <w:r>
        <w:t xml:space="preserve">trapped</w:t>
      </w:r>
      <w:r>
        <w:t xml:space="preserve">”</w:t>
      </w:r>
      <w:r>
        <w:t xml:space="preserve"> </w:t>
      </w:r>
      <w:r>
        <w:t xml:space="preserve">and</w:t>
      </w:r>
      <w:r>
        <w:t xml:space="preserve"> </w:t>
      </w:r>
      <w:r>
        <w:t xml:space="preserve">“</w:t>
      </w:r>
      <w:r>
        <w:t xml:space="preserve">not trapped</w:t>
      </w:r>
      <w:r>
        <w:t xml:space="preserve">”</w:t>
      </w:r>
      <w:r>
        <w:t xml:space="preserve"> </w:t>
      </w:r>
      <w:r>
        <w:t xml:space="preserve">in this section refer to the</w:t>
      </w:r>
      <w:r>
        <w:t xml:space="preserve"> </w:t>
      </w:r>
      <w:r>
        <w:rPr>
          <w:bCs/>
          <w:b/>
        </w:rPr>
        <w:t xml:space="preserve">middle-income trap</w:t>
      </w:r>
      <w:r>
        <w:t xml:space="preserve">, not the middle-technology trap, and they are taken from Bianchi et al. (2024), who classify economies by the time spent in the middle-income range (duration criteria) and by the trajectory of export complexity. On that basis Thailand and Malaysia are formally trapped by duration but show sustained improvement in complexity, the most favourable of the three categories. Vietnam is not classified as trapped by any source we reviewed, having reached upper-middle-income status only in July 2026. The Philippines crossed the same threshold on the same date but carries a documented trap history at a lower income band.</w:t>
      </w:r>
      <w:r>
        <w:t xml:space="preserve"> </w:t>
      </w:r>
      <w:r>
        <w:rPr>
          <w:bCs/>
          <w:b/>
        </w:rPr>
        <w:t xml:space="preserve">[VERIFY: confirm the duration criteria and the placement of each country in Bianchi et al. (2024), and state the criteria numerically.]</w:t>
      </w:r>
      <w:r>
        <w:t xml:space="preserve"> </w:t>
      </w:r>
      <w:r>
        <w:t xml:space="preserve">The middle-technology trap has been applied separately: Ke (2024) examines it for Malaysia, Thailand, Indonesia and the Philippines, and does not cover Vietnam. We do not classify any of the four countries as middle-technology trapped, and we do not use either classification as a result. We use them only to choose cases that differ in their position relative to the middle-income range, so that the question for each country differs: whether AI incentive design reinforces or corrects an established pattern (Thailand, Malaysia), whether a previously experienced pattern could recur at a higher threshold (the Philippines), and whether the architecture being built now, while institutions are comparatively malleable, will help Vietnam through the range in which slowdowns cluster.</w:t>
      </w:r>
    </w:p>
    <w:p>
      <w:pPr>
        <w:pStyle w:val="BodyText"/>
      </w:pPr>
      <w:r>
        <w:rPr>
          <w:iCs/>
          <w:i/>
        </w:rPr>
        <w:t xml:space="preserve">How far the findings generalise.</w:t>
      </w:r>
      <w:r>
        <w:t xml:space="preserve"> </w:t>
      </w:r>
      <w:r>
        <w:t xml:space="preserve">Four purposively chosen cases support analytic inferences about how these four systems are designed. They do not support statistical claims about Southeast Asia. The findings may apply to other middle-income economies that use threshold-based investment promotion, and are less likely to apply to economies with a different incentive architecture, such as those without a dedicated investment promotion agency. Section 7 returns to this limit.</w:t>
      </w:r>
    </w:p>
    <w:p>
      <w:pPr>
        <w:pStyle w:val="BodyText"/>
      </w:pPr>
      <w:r>
        <w:rPr>
          <w:iCs/>
          <w:i/>
        </w:rPr>
        <w:t xml:space="preserve">Countries not included.</w:t>
      </w:r>
      <w:r>
        <w:t xml:space="preserve"> </w:t>
      </w:r>
      <w:r>
        <w:t xml:space="preserve">Singapore is a high-income economy and outside the middle-income focus.</w:t>
      </w:r>
      <w:r>
        <w:t xml:space="preserve"> </w:t>
      </w:r>
      <w:r>
        <w:rPr>
          <w:bCs/>
          <w:b/>
        </w:rPr>
        <w:t xml:space="preserve">[PENDING, AUTHORS TO COMPLETE: reason for excluding Indonesia, which belongs to the ASEAN Four in Ke (2024). Possible grounds, to be confirmed or replaced: no consolidated AI incentive instrument in force, language access, timing. Do not submit without a stated reason; see Seawright and Gerring (2008) for the logic of purposive case selection.]</w:t>
      </w:r>
    </w:p>
    <w:p>
      <w:pPr>
        <w:pStyle w:val="BodyText"/>
      </w:pPr>
      <w:r>
        <w:rPr>
          <w:bCs/>
          <w:b/>
        </w:rPr>
        <w:t xml:space="preserve">Nested design.</w:t>
      </w:r>
      <w:r>
        <w:t xml:space="preserve"> </w:t>
      </w:r>
      <w:r>
        <w:t xml:space="preserve">Thailand is the primary case because it is the only one of the four that publishes approval statistics by sub-activity and by ownership of registered capital, so formal rules can be compared with realised outcomes. Vietnam, Malaysia and the Philippines are shadow cases coded on the same dimensions from legal texts without equivalent outcome data. The design buys one thing that a symmetric comparison would not: a test of whether rules and outcomes line up in at least one country. The cost is that claims about realised ownership rest on one country and are provisional.</w:t>
      </w:r>
    </w:p>
    <w:bookmarkEnd w:id="28"/>
    <w:bookmarkStart w:id="29" w:name="data-sources"/>
    <w:p>
      <w:pPr>
        <w:pStyle w:val="Heading3"/>
      </w:pPr>
      <w:r>
        <w:t xml:space="preserve">3.2 Data sources</w:t>
      </w:r>
    </w:p>
    <w:p>
      <w:pPr>
        <w:pStyle w:val="FirstParagraph"/>
      </w:pPr>
      <w:r>
        <w:t xml:space="preserve">We code primary legal and regulatory texts, not strategy documents or commentary: Thailand’s Board of Investment announcements and Investment Promotion Guide; Vietnam’s Decree 260/2026 implementing the Law on High Technology and Decision 21/2026 on strategic technologies; Malaysia’s Malaysia Digital tax-incentive guidelines and the Digital Ecosystem Acceleration scheme guidelines; and the Philippines’ CREATE MORE Act with its implementing rules. Table 2 lists each source with its issuing body, date, access route and the amendment check described below.</w:t>
      </w:r>
    </w:p>
    <w:p>
      <w:pPr>
        <w:pStyle w:val="BodyText"/>
      </w:pPr>
      <w:r>
        <w:rPr>
          <w:bCs/>
          <w:b/>
        </w:rPr>
        <w:t xml:space="preserve">Which instruments were selected, and how we established that they are authoritative and current.</w:t>
      </w:r>
      <w:r>
        <w:t xml:space="preserve"> </w:t>
      </w:r>
      <w:r>
        <w:t xml:space="preserve">An instrument entered the sample if it met two rules: it is in force in the period studied, and it either names AI, cloud, data centres or digital activity as an eligible or prioritised activity or sets eligibility rules for a scheme under which such activity is registered. We built the list for each country by reading the issuing agency’s own consolidated list of schemes and the instruments those schemes cite, and we treated the instrument text, not agency summaries or press releases, as authoritative. For each source we then recorded (a) the version in force on the date of coding, (b) any amendment, consolidation or repeal found in the issuing body’s own publication record, and (c) any implementing rule or circular that could change how the coded provision is read. The check was made against the issuing body’s publication list, not against secondary commentary. One case shows why it matters: Decision 21/2026/QD-TTg replaced an earlier 2025 list of strategic technologies (Decision 1131/QD-TTg), and the coding reflects the 2026 decision only.</w:t>
      </w:r>
      <w:r>
        <w:t xml:space="preserve"> </w:t>
      </w:r>
      <w:r>
        <w:rPr>
          <w:bCs/>
          <w:b/>
        </w:rPr>
        <w:t xml:space="preserve">[PENDING: complete the amendment and supersession check for every row of Table 2, state the date of each check, and name any provision found to have changed. Until then this paragraph describes the intended procedure, not a completed one.]</w:t>
      </w:r>
    </w:p>
    <w:p>
      <w:pPr>
        <w:pStyle w:val="BodyText"/>
      </w:pPr>
      <w:r>
        <w:rPr>
          <w:bCs/>
          <w:b/>
        </w:rPr>
        <w:t xml:space="preserve">Table 2. Primary sources coded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Country</w:t>
            </w:r>
          </w:p>
        </w:tc>
        <w:tc>
          <w:tcPr/>
          <w:p>
            <w:pPr>
              <w:pStyle w:val="Compact"/>
              <w:jc w:val="left"/>
            </w:pPr>
            <w:r>
              <w:t xml:space="preserve">Source</w:t>
            </w:r>
          </w:p>
        </w:tc>
        <w:tc>
          <w:tcPr/>
          <w:p>
            <w:pPr>
              <w:pStyle w:val="Compact"/>
              <w:jc w:val="left"/>
            </w:pPr>
            <w:r>
              <w:t xml:space="preserve">Issuer</w:t>
            </w:r>
          </w:p>
        </w:tc>
        <w:tc>
          <w:tcPr/>
          <w:p>
            <w:pPr>
              <w:pStyle w:val="Compact"/>
              <w:jc w:val="left"/>
            </w:pPr>
            <w:r>
              <w:t xml:space="preserve">Date in force</w:t>
            </w:r>
          </w:p>
        </w:tc>
        <w:tc>
          <w:tcPr/>
          <w:p>
            <w:pPr>
              <w:pStyle w:val="Compact"/>
              <w:jc w:val="left"/>
            </w:pPr>
            <w:r>
              <w:t xml:space="preserve">Language / translation</w:t>
            </w:r>
          </w:p>
        </w:tc>
        <w:tc>
          <w:tcPr/>
          <w:p>
            <w:pPr>
              <w:pStyle w:val="Compact"/>
              <w:jc w:val="left"/>
            </w:pPr>
            <w:r>
              <w:t xml:space="preserve">Accessed</w:t>
            </w:r>
          </w:p>
        </w:tc>
        <w:tc>
          <w:tcPr/>
          <w:p>
            <w:pPr>
              <w:pStyle w:val="Compact"/>
              <w:jc w:val="left"/>
            </w:pPr>
            <w:r>
              <w:t xml:space="preserve">Amendments, repeals and implementing rules checked (date)</w:t>
            </w:r>
          </w:p>
        </w:tc>
      </w:tr>
      <w:tr>
        <w:tc>
          <w:tcPr/>
          <w:p>
            <w:pPr>
              <w:pStyle w:val="Compact"/>
              <w:jc w:val="left"/>
            </w:pPr>
            <w:r>
              <w:t xml:space="preserve">Thailand</w:t>
            </w:r>
          </w:p>
        </w:tc>
        <w:tc>
          <w:tcPr/>
          <w:p>
            <w:pPr>
              <w:pStyle w:val="Compact"/>
              <w:jc w:val="left"/>
            </w:pPr>
            <w:r>
              <w:t xml:space="preserve">BOI Announcements 8/2565, 9/2565, 10/2565; Guide to Investment Promotion 2025; approval statistics Jan to Dec 2025</w:t>
            </w:r>
          </w:p>
        </w:tc>
        <w:tc>
          <w:tcPr/>
          <w:p>
            <w:pPr>
              <w:pStyle w:val="Compact"/>
              <w:jc w:val="left"/>
            </w:pPr>
            <w:r>
              <w:t xml:space="preserve">Board of Investment</w:t>
            </w:r>
          </w:p>
        </w:tc>
        <w:tc>
          <w:tcPr/>
          <w:p>
            <w:pPr>
              <w:pStyle w:val="Compact"/>
              <w:jc w:val="left"/>
            </w:pPr>
            <w:r>
              <w:rPr>
                <w:bCs/>
                <w:b/>
              </w:rPr>
              <w:t xml:space="preserve">PENDING</w:t>
            </w:r>
          </w:p>
        </w:tc>
        <w:tc>
          <w:tcPr/>
          <w:p>
            <w:pPr>
              <w:pStyle w:val="Compact"/>
              <w:jc w:val="left"/>
            </w:pPr>
            <w:r>
              <w:rPr>
                <w:bCs/>
                <w:b/>
              </w:rPr>
              <w:t xml:space="preserve">PENDING</w:t>
            </w:r>
          </w:p>
        </w:tc>
        <w:tc>
          <w:tcPr/>
          <w:p>
            <w:pPr>
              <w:pStyle w:val="Compact"/>
              <w:jc w:val="left"/>
            </w:pPr>
            <w:r>
              <w:rPr>
                <w:bCs/>
                <w:b/>
              </w:rPr>
              <w:t xml:space="preserve">PENDING</w:t>
            </w:r>
          </w:p>
        </w:tc>
        <w:tc>
          <w:tcPr/>
          <w:p>
            <w:pPr>
              <w:pStyle w:val="Compact"/>
              <w:jc w:val="left"/>
            </w:pPr>
            <w:r>
              <w:rPr>
                <w:bCs/>
                <w:b/>
              </w:rPr>
              <w:t xml:space="preserve">PENDING</w:t>
            </w:r>
          </w:p>
        </w:tc>
      </w:tr>
      <w:tr>
        <w:tc>
          <w:tcPr/>
          <w:p>
            <w:pPr>
              <w:pStyle w:val="Compact"/>
              <w:jc w:val="left"/>
            </w:pPr>
            <w:r>
              <w:t xml:space="preserve">Vietnam</w:t>
            </w:r>
          </w:p>
        </w:tc>
        <w:tc>
          <w:tcPr/>
          <w:p>
            <w:pPr>
              <w:pStyle w:val="Compact"/>
              <w:jc w:val="left"/>
            </w:pPr>
            <w:r>
              <w:t xml:space="preserve">Decree 260/2026/ND-CP; Decision 21/2026/QD-TTg (replaces Decision 1131/QD-TTg of 2025)</w:t>
            </w:r>
          </w:p>
        </w:tc>
        <w:tc>
          <w:tcPr/>
          <w:p>
            <w:pPr>
              <w:pStyle w:val="Compact"/>
              <w:jc w:val="left"/>
            </w:pPr>
            <w:r>
              <w:t xml:space="preserve">Government; Prime Minister</w:t>
            </w:r>
          </w:p>
        </w:tc>
        <w:tc>
          <w:tcPr/>
          <w:p>
            <w:pPr>
              <w:pStyle w:val="Compact"/>
              <w:jc w:val="left"/>
            </w:pPr>
            <w:r>
              <w:t xml:space="preserve">1 July 2026 (VERIFY)</w:t>
            </w:r>
          </w:p>
        </w:tc>
        <w:tc>
          <w:tcPr/>
          <w:p>
            <w:pPr>
              <w:pStyle w:val="Compact"/>
              <w:jc w:val="left"/>
            </w:pPr>
            <w:r>
              <w:rPr>
                <w:bCs/>
                <w:b/>
              </w:rPr>
              <w:t xml:space="preserve">PENDING</w:t>
            </w:r>
          </w:p>
        </w:tc>
        <w:tc>
          <w:tcPr/>
          <w:p>
            <w:pPr>
              <w:pStyle w:val="Compact"/>
              <w:jc w:val="left"/>
            </w:pPr>
            <w:r>
              <w:rPr>
                <w:bCs/>
                <w:b/>
              </w:rPr>
              <w:t xml:space="preserve">PENDING</w:t>
            </w:r>
          </w:p>
        </w:tc>
        <w:tc>
          <w:tcPr/>
          <w:p>
            <w:pPr>
              <w:pStyle w:val="Compact"/>
              <w:jc w:val="left"/>
            </w:pPr>
            <w:r>
              <w:rPr>
                <w:bCs/>
                <w:b/>
              </w:rPr>
              <w:t xml:space="preserve">PENDING</w:t>
            </w:r>
          </w:p>
        </w:tc>
      </w:tr>
      <w:tr>
        <w:tc>
          <w:tcPr/>
          <w:p>
            <w:pPr>
              <w:pStyle w:val="Compact"/>
              <w:jc w:val="left"/>
            </w:pPr>
            <w:r>
              <w:t xml:space="preserve">Malaysia</w:t>
            </w:r>
          </w:p>
        </w:tc>
        <w:tc>
          <w:tcPr/>
          <w:p>
            <w:pPr>
              <w:pStyle w:val="Compact"/>
              <w:jc w:val="left"/>
            </w:pPr>
            <w:r>
              <w:t xml:space="preserve">Malaysia Digital incentive guidelines (2024); DESAC guidelines (2022)</w:t>
            </w:r>
          </w:p>
        </w:tc>
        <w:tc>
          <w:tcPr/>
          <w:p>
            <w:pPr>
              <w:pStyle w:val="Compact"/>
              <w:jc w:val="left"/>
            </w:pPr>
            <w:r>
              <w:t xml:space="preserve">MDEC; MIDA</w:t>
            </w:r>
          </w:p>
        </w:tc>
        <w:tc>
          <w:tcPr/>
          <w:p>
            <w:pPr>
              <w:pStyle w:val="Compact"/>
              <w:jc w:val="left"/>
            </w:pPr>
            <w:r>
              <w:rPr>
                <w:bCs/>
                <w:b/>
              </w:rPr>
              <w:t xml:space="preserve">PENDING</w:t>
            </w:r>
          </w:p>
        </w:tc>
        <w:tc>
          <w:tcPr/>
          <w:p>
            <w:pPr>
              <w:pStyle w:val="Compact"/>
              <w:jc w:val="left"/>
            </w:pPr>
            <w:r>
              <w:rPr>
                <w:bCs/>
                <w:b/>
              </w:rPr>
              <w:t xml:space="preserve">PENDING</w:t>
            </w:r>
          </w:p>
        </w:tc>
        <w:tc>
          <w:tcPr/>
          <w:p>
            <w:pPr>
              <w:pStyle w:val="Compact"/>
              <w:jc w:val="left"/>
            </w:pPr>
            <w:r>
              <w:rPr>
                <w:bCs/>
                <w:b/>
              </w:rPr>
              <w:t xml:space="preserve">PENDING</w:t>
            </w:r>
          </w:p>
        </w:tc>
        <w:tc>
          <w:tcPr/>
          <w:p>
            <w:pPr>
              <w:pStyle w:val="Compact"/>
              <w:jc w:val="left"/>
            </w:pPr>
            <w:r>
              <w:rPr>
                <w:bCs/>
                <w:b/>
              </w:rPr>
              <w:t xml:space="preserve">PENDING</w:t>
            </w:r>
          </w:p>
        </w:tc>
      </w:tr>
      <w:tr>
        <w:tc>
          <w:tcPr/>
          <w:p>
            <w:pPr>
              <w:pStyle w:val="Compact"/>
              <w:jc w:val="left"/>
            </w:pPr>
            <w:r>
              <w:t xml:space="preserve">Philippines</w:t>
            </w:r>
          </w:p>
        </w:tc>
        <w:tc>
          <w:tcPr/>
          <w:p>
            <w:pPr>
              <w:pStyle w:val="Compact"/>
              <w:jc w:val="left"/>
            </w:pPr>
            <w:r>
              <w:t xml:space="preserve">Republic Act 12066 (CREATE MORE); FIRB Advisory 001-2025</w:t>
            </w:r>
          </w:p>
        </w:tc>
        <w:tc>
          <w:tcPr/>
          <w:p>
            <w:pPr>
              <w:pStyle w:val="Compact"/>
              <w:jc w:val="left"/>
            </w:pPr>
            <w:r>
              <w:t xml:space="preserve">Congress; FIRB</w:t>
            </w:r>
          </w:p>
        </w:tc>
        <w:tc>
          <w:tcPr/>
          <w:p>
            <w:pPr>
              <w:pStyle w:val="Compact"/>
              <w:jc w:val="left"/>
            </w:pPr>
            <w:r>
              <w:rPr>
                <w:bCs/>
                <w:b/>
              </w:rPr>
              <w:t xml:space="preserve">PENDING</w:t>
            </w:r>
          </w:p>
        </w:tc>
        <w:tc>
          <w:tcPr/>
          <w:p>
            <w:pPr>
              <w:pStyle w:val="Compact"/>
              <w:jc w:val="left"/>
            </w:pPr>
            <w:r>
              <w:rPr>
                <w:bCs/>
                <w:b/>
              </w:rPr>
              <w:t xml:space="preserve">PENDING</w:t>
            </w:r>
          </w:p>
        </w:tc>
        <w:tc>
          <w:tcPr/>
          <w:p>
            <w:pPr>
              <w:pStyle w:val="Compact"/>
              <w:jc w:val="left"/>
            </w:pPr>
            <w:r>
              <w:rPr>
                <w:bCs/>
                <w:b/>
              </w:rPr>
              <w:t xml:space="preserve">PENDING</w:t>
            </w:r>
          </w:p>
        </w:tc>
        <w:tc>
          <w:tcPr/>
          <w:p>
            <w:pPr>
              <w:pStyle w:val="Compact"/>
              <w:jc w:val="left"/>
            </w:pPr>
            <w:r>
              <w:rPr>
                <w:bCs/>
                <w:b/>
              </w:rPr>
              <w:t xml:space="preserve">PENDING</w:t>
            </w:r>
          </w:p>
        </w:tc>
      </w:tr>
    </w:tbl>
    <w:p>
      <w:pPr>
        <w:pStyle w:val="BodyText"/>
      </w:pPr>
      <w:r>
        <w:t xml:space="preserve">Statistical sources for Vietnam are the Ministry of Information and Communications white book (2024) and the General Statistics Office yearbook (2024). Currency figures are converted at the rate prevailing when each instrument was coded</w:t>
      </w:r>
      <w:r>
        <w:t xml:space="preserve"> </w:t>
      </w:r>
      <w:r>
        <w:rPr>
          <w:bCs/>
          <w:b/>
        </w:rPr>
        <w:t xml:space="preserve">[PENDING: state the date and rate used for each currency in the note to Table 3]</w:t>
      </w:r>
      <w:r>
        <w:t xml:space="preserve">. The main limitations of these sources are that some texts were coded from official or unofficial English translations, that implementing rules may follow the primary text, and that Vietnam’s AI-specific regulatory layer is still developing following the 2025 AI law (Vietnam, 2025).</w:t>
      </w:r>
    </w:p>
    <w:bookmarkEnd w:id="29"/>
    <w:bookmarkStart w:id="30" w:name="coding-of-policy-instruments"/>
    <w:p>
      <w:pPr>
        <w:pStyle w:val="Heading3"/>
      </w:pPr>
      <w:r>
        <w:t xml:space="preserve">3.3 Coding of policy instruments</w:t>
      </w:r>
    </w:p>
    <w:p>
      <w:pPr>
        <w:pStyle w:val="FirstParagraph"/>
      </w:pPr>
      <w:r>
        <w:t xml:space="preserve">The unit of analysis is the instrument, a specific exemption, grant or eligibility rule, not the strategy document, since one strategy bundles many instruments. About twenty instruments were coded across the four countries (Supporting Information, Table S1). Each is coded on five dimensions:</w:t>
      </w:r>
      <w:r>
        <w:t xml:space="preserve"> </w:t>
      </w:r>
      <w:r>
        <w:rPr>
          <w:bCs/>
          <w:b/>
        </w:rPr>
        <w:t xml:space="preserve">(1) stack layer</w:t>
      </w:r>
      <w:r>
        <w:t xml:space="preserve">, using the four-layer scheme;</w:t>
      </w:r>
      <w:r>
        <w:t xml:space="preserve"> </w:t>
      </w:r>
      <w:r>
        <w:rPr>
          <w:bCs/>
          <w:b/>
        </w:rPr>
        <w:t xml:space="preserve">(2) delivery mechanism</w:t>
      </w:r>
      <w:r>
        <w:t xml:space="preserve">, distinguishing indirect tax-based instruments, which presuppose taxable profit or investment expenditure, from direct grants, equity or fee waivers;</w:t>
      </w:r>
      <w:r>
        <w:t xml:space="preserve"> </w:t>
      </w:r>
      <w:r>
        <w:rPr>
          <w:bCs/>
          <w:b/>
        </w:rPr>
        <w:t xml:space="preserve">(3) formal threshold</w:t>
      </w:r>
      <w:r>
        <w:t xml:space="preserve">, the minimum capital, revenue or staffing in the source (the scale dimension);</w:t>
      </w:r>
      <w:r>
        <w:t xml:space="preserve"> </w:t>
      </w:r>
      <w:r>
        <w:rPr>
          <w:bCs/>
          <w:b/>
        </w:rPr>
        <w:t xml:space="preserve">(4) new-firm accommodation</w:t>
      </w:r>
      <w:r>
        <w:t xml:space="preserve">, coded Yes only where the source contains an explicit provision easing access for smaller or newer firms (the vintage dimension); and</w:t>
      </w:r>
      <w:r>
        <w:t xml:space="preserve"> </w:t>
      </w:r>
      <w:r>
        <w:rPr>
          <w:bCs/>
          <w:b/>
        </w:rPr>
        <w:t xml:space="preserve">(5) recurring compliance burden</w:t>
      </w:r>
      <w:r>
        <w:t xml:space="preserve">, meaning annual or ongoing obligations attached to continued eligibility.</w:t>
      </w:r>
    </w:p>
    <w:p>
      <w:pPr>
        <w:pStyle w:val="BodyText"/>
      </w:pPr>
      <w:r>
        <w:t xml:space="preserve">The codebook is in Appendix A. Rules for ambiguous cases are as follows. A threshold the source does not state is coded</w:t>
      </w:r>
      <w:r>
        <w:t xml:space="preserve"> </w:t>
      </w:r>
      <w:r>
        <w:t xml:space="preserve">“</w:t>
      </w:r>
      <w:r>
        <w:t xml:space="preserve">none stated</w:t>
      </w:r>
      <w:r>
        <w:t xml:space="preserve">”</w:t>
      </w:r>
      <w:r>
        <w:t xml:space="preserve">, not zero. An instrument applying across activity types without targeting a layer is coded</w:t>
      </w:r>
      <w:r>
        <w:t xml:space="preserve"> </w:t>
      </w:r>
      <w:r>
        <w:t xml:space="preserve">“</w:t>
      </w:r>
      <w:r>
        <w:t xml:space="preserve">cross-cutting</w:t>
      </w:r>
      <w:r>
        <w:t xml:space="preserve">”</w:t>
      </w:r>
      <w:r>
        <w:t xml:space="preserve">. A proportional requirement, such as a percentage of staff, is coded</w:t>
      </w:r>
      <w:r>
        <w:t xml:space="preserve"> </w:t>
      </w:r>
      <w:r>
        <w:t xml:space="preserve">“</w:t>
      </w:r>
      <w:r>
        <w:t xml:space="preserve">not scale-based</w:t>
      </w:r>
      <w:r>
        <w:t xml:space="preserve">”</w:t>
      </w:r>
      <w:r>
        <w:t xml:space="preserve">, because a firm of ten people can satisfy it as readily as a firm of a thousand. Where a scheme combines tax and direct components, each component is coded as a separate row. Where a coding decision remained uncertain after reading the source, the instrument is flagged and the decision is logged in the Supporting Information.</w:t>
      </w:r>
    </w:p>
    <w:p>
      <w:pPr>
        <w:pStyle w:val="BodyText"/>
      </w:pPr>
      <w:r>
        <w:t xml:space="preserve">We report the coded dimensions directly, as a matrix (Table 3), and do not aggregate them into an index. Any weighting across dimensions would be a modelling assumption with no data-derived basis, and a single number would convey more precision than the coding supports.</w:t>
      </w:r>
    </w:p>
    <w:p>
      <w:pPr>
        <w:pStyle w:val="BodyText"/>
      </w:pPr>
      <w:r>
        <w:rPr>
          <w:bCs/>
          <w:b/>
        </w:rPr>
        <w:t xml:space="preserve">Reliability.</w:t>
      </w:r>
      <w:r>
        <w:t xml:space="preserve"> </w:t>
      </w:r>
      <w:r>
        <w:rPr>
          <w:bCs/>
          <w:b/>
        </w:rPr>
        <w:t xml:space="preserve">[PENDING: inter-coder reliability. A second coder will code all 20 instruments independently, blind to the first coder’s codes, using the codebook in Appendix A. We will report percentage agreement and Cohen’s kappa (Cohen, 1960) per dimension, with Krippendorff’s alpha (Krippendorff, 2018) as a check given the small number of units; we will report agreement before and after discussion and log every resolved disagreement. Replace this paragraph with the results. Until it is done, all coding results should be read as the first coder’s judgements.]</w:t>
      </w:r>
    </w:p>
    <w:p>
      <w:pPr>
        <w:pStyle w:val="BodyText"/>
      </w:pPr>
      <w:r>
        <w:rPr>
          <w:bCs/>
          <w:b/>
        </w:rPr>
        <w:t xml:space="preserve">Verification.</w:t>
      </w:r>
      <w:r>
        <w:t xml:space="preserve"> </w:t>
      </w:r>
      <w:r>
        <w:rPr>
          <w:bCs/>
          <w:b/>
        </w:rPr>
        <w:t xml:space="preserve">[PENDING: every figure in Table 3 and Supporting Information Table S1 is to be re-checked against the primary text, with the date of checking recorded. At the time of drafting, 14 of the 20 instrument rows were marked as not independently re-verified. Replace this paragraph with the verification result.]</w:t>
      </w:r>
    </w:p>
    <w:p>
      <w:pPr>
        <w:pStyle w:val="BodyText"/>
      </w:pPr>
      <w:r>
        <w:rPr>
          <w:bCs/>
          <w:b/>
        </w:rPr>
        <w:t xml:space="preserve">Search protocol for absence claims.</w:t>
      </w:r>
      <w:r>
        <w:t xml:space="preserve"> </w:t>
      </w:r>
      <w:r>
        <w:t xml:space="preserve">Our claim that no AI-related instrument addresses compute provision below facility scale is a claim about absence.</w:t>
      </w:r>
      <w:r>
        <w:t xml:space="preserve"> </w:t>
      </w:r>
      <w:r>
        <w:rPr>
          <w:bCs/>
          <w:b/>
        </w:rPr>
        <w:t xml:space="preserve">[PENDING: document the search: which instrument lists were read in full, which key terms were searched in the English and national-language texts (for example colocation, cloud service, compute, GPU, shared infrastructure), and on what date, and name the nearest instrument to sub-facility compute in each country.]</w:t>
      </w:r>
    </w:p>
    <w:p>
      <w:pPr>
        <w:pStyle w:val="BodyText"/>
      </w:pPr>
      <w:r>
        <w:rPr>
          <w:bCs/>
          <w:b/>
        </w:rPr>
        <w:t xml:space="preserve">General-purpose instruments.</w:t>
      </w:r>
      <w:r>
        <w:t xml:space="preserve"> </w:t>
      </w:r>
      <w:r>
        <w:t xml:space="preserve">The coding so far covers AI-tagged and digital-sector incentives. Firms may reach support through general SME, startup or research schemes that do not mention AI.</w:t>
      </w:r>
      <w:r>
        <w:t xml:space="preserve"> </w:t>
      </w:r>
      <w:r>
        <w:rPr>
          <w:bCs/>
          <w:b/>
        </w:rPr>
        <w:t xml:space="preserve">[PENDING: code the general SME, startup and research instruments of each country on the same five dimensions, and report whether any would apply to a sub-facility compute provider. Until this is done, the absence claim in Section 4.5 is limited to AI-related and digital-sector instruments.]</w:t>
      </w:r>
    </w:p>
    <w:bookmarkEnd w:id="30"/>
    <w:bookmarkStart w:id="31" w:name="assessing-rival-explanations"/>
    <w:p>
      <w:pPr>
        <w:pStyle w:val="Heading3"/>
      </w:pPr>
      <w:r>
        <w:t xml:space="preserve">3.4 Assessing rival explanations</w:t>
      </w:r>
    </w:p>
    <w:p>
      <w:pPr>
        <w:pStyle w:val="FirstParagraph"/>
      </w:pPr>
      <w:r>
        <w:t xml:space="preserve">Because the analysis rests on four documented cases and not on a panel, conventional identification is unavailable. We use process-tracing logic (Collier, 2011; Mahoney, 2012; Van Evera, 1997): each piece of evidence is assessed by how each hypothesis predicts it, and by whether it can discriminate between them. We borrow from Fairfield and Charman (2017) the discipline of asking how probable the evidence would be under each rival, but we do not assign numerical priors or likelihoods. Four cases and about nine evidence items cannot support defensible numerical priors, and the conclusions would then depend on the priors. We use an ordinal rubric instead, so that every rating can be traced to a stated rule.</w:t>
      </w:r>
    </w:p>
    <w:p>
      <w:pPr>
        <w:pStyle w:val="BodyText"/>
      </w:pPr>
      <w:r>
        <w:rPr>
          <w:bCs/>
          <w:b/>
        </w:rPr>
        <w:t xml:space="preserve">Table 1. Rubric for assessing evidence against hypotheses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Rating of a hypothesis</w:t>
            </w:r>
          </w:p>
        </w:tc>
        <w:tc>
          <w:tcPr/>
          <w:p>
            <w:pPr>
              <w:pStyle w:val="Compact"/>
              <w:jc w:val="left"/>
            </w:pPr>
            <w:r>
              <w:t xml:space="preserve">Meaning</w:t>
            </w:r>
          </w:p>
        </w:tc>
      </w:tr>
      <w:tr>
        <w:tc>
          <w:tcPr/>
          <w:p>
            <w:pPr>
              <w:pStyle w:val="Compact"/>
              <w:jc w:val="left"/>
            </w:pPr>
            <w:r>
              <w:t xml:space="preserve">Expected (E)</w:t>
            </w:r>
          </w:p>
        </w:tc>
        <w:tc>
          <w:tcPr/>
          <w:p>
            <w:pPr>
              <w:pStyle w:val="Compact"/>
              <w:jc w:val="left"/>
            </w:pPr>
            <w:r>
              <w:t xml:space="preserve">The hypothesis predicts this evidence (it is part of one of its stated predictions P1 to P3)</w:t>
            </w:r>
          </w:p>
        </w:tc>
      </w:tr>
      <w:tr>
        <w:tc>
          <w:tcPr/>
          <w:p>
            <w:pPr>
              <w:pStyle w:val="Compact"/>
              <w:jc w:val="left"/>
            </w:pPr>
            <w:r>
              <w:t xml:space="preserve">Compatible (C)</w:t>
            </w:r>
          </w:p>
        </w:tc>
        <w:tc>
          <w:tcPr/>
          <w:p>
            <w:pPr>
              <w:pStyle w:val="Compact"/>
              <w:jc w:val="left"/>
            </w:pPr>
            <w:r>
              <w:t xml:space="preserve">The hypothesis does not predict the evidence but is consistent with it</w:t>
            </w:r>
          </w:p>
        </w:tc>
      </w:tr>
      <w:tr>
        <w:tc>
          <w:tcPr/>
          <w:p>
            <w:pPr>
              <w:pStyle w:val="Compact"/>
              <w:jc w:val="left"/>
            </w:pPr>
            <w:r>
              <w:t xml:space="preserve">Unexpected (U)</w:t>
            </w:r>
          </w:p>
        </w:tc>
        <w:tc>
          <w:tcPr/>
          <w:p>
            <w:pPr>
              <w:pStyle w:val="Compact"/>
              <w:jc w:val="left"/>
            </w:pPr>
            <w:r>
              <w:t xml:space="preserve">The evidence is in tension with the hypothesis and can be reconciled only with an additional assumption</w:t>
            </w:r>
          </w:p>
        </w:tc>
      </w:tr>
      <w:tr>
        <w:tc>
          <w:tcPr/>
          <w:p>
            <w:pPr>
              <w:pStyle w:val="Compact"/>
              <w:jc w:val="left"/>
            </w:pPr>
            <w:r>
              <w:t xml:space="preserve">Contradicted (X)</w:t>
            </w:r>
          </w:p>
        </w:tc>
        <w:tc>
          <w:tcPr/>
          <w:p>
            <w:pPr>
              <w:pStyle w:val="Compact"/>
              <w:jc w:val="left"/>
            </w:pPr>
            <w:r>
              <w:t xml:space="preserve">The evidence is inconsistent with the hypothesis as stated</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Inferential weight</w:t>
            </w:r>
          </w:p>
        </w:tc>
        <w:tc>
          <w:tcPr/>
          <w:p>
            <w:pPr>
              <w:pStyle w:val="Compact"/>
              <w:jc w:val="left"/>
            </w:pPr>
            <w:r>
              <w:t xml:space="preserve">Rule</w:t>
            </w:r>
          </w:p>
        </w:tc>
      </w:tr>
      <w:tr>
        <w:tc>
          <w:tcPr/>
          <w:p>
            <w:pPr>
              <w:pStyle w:val="Compact"/>
              <w:jc w:val="left"/>
            </w:pPr>
            <w:r>
              <w:t xml:space="preserve">Strong</w:t>
            </w:r>
          </w:p>
        </w:tc>
        <w:tc>
          <w:tcPr/>
          <w:p>
            <w:pPr>
              <w:pStyle w:val="Compact"/>
              <w:jc w:val="left"/>
            </w:pPr>
            <w:r>
              <w:t xml:space="preserve">At least one rival is rated U or X, the evidence rests on verified coding, and no auxiliary assumption is needed</w:t>
            </w:r>
          </w:p>
        </w:tc>
      </w:tr>
      <w:tr>
        <w:tc>
          <w:tcPr/>
          <w:p>
            <w:pPr>
              <w:pStyle w:val="Compact"/>
              <w:jc w:val="left"/>
            </w:pPr>
            <w:r>
              <w:t xml:space="preserve">Moderate</w:t>
            </w:r>
          </w:p>
        </w:tc>
        <w:tc>
          <w:tcPr/>
          <w:p>
            <w:pPr>
              <w:pStyle w:val="Compact"/>
              <w:jc w:val="left"/>
            </w:pPr>
            <w:r>
              <w:t xml:space="preserve">At least one rival is rated U or X, but the weight depends on an auxiliary assumption or on coding not yet verified</w:t>
            </w:r>
          </w:p>
        </w:tc>
      </w:tr>
      <w:tr>
        <w:tc>
          <w:tcPr/>
          <w:p>
            <w:pPr>
              <w:pStyle w:val="Compact"/>
              <w:jc w:val="left"/>
            </w:pPr>
            <w:r>
              <w:t xml:space="preserve">Weak</w:t>
            </w:r>
          </w:p>
        </w:tc>
        <w:tc>
          <w:tcPr/>
          <w:p>
            <w:pPr>
              <w:pStyle w:val="Compact"/>
              <w:jc w:val="left"/>
            </w:pPr>
            <w:r>
              <w:t xml:space="preserve">No rival is rated U or X, so the evidence does not discriminate</w:t>
            </w:r>
          </w:p>
        </w:tc>
      </w:tr>
    </w:tbl>
    <w:p>
      <w:pPr>
        <w:pStyle w:val="BodyText"/>
      </w:pPr>
      <w:r>
        <w:t xml:space="preserve">For each row we also state what evidence would change the rating (Table 4) and test how conclusions change when single rows are dropped (Section 5.3). The most visible pattern in the data, the gap between software and infrastructure thresholds, is a</w:t>
      </w:r>
      <w:r>
        <w:t xml:space="preserve"> </w:t>
      </w:r>
      <w:r>
        <w:rPr>
          <w:iCs/>
          <w:i/>
        </w:rPr>
        <w:t xml:space="preserve">weak</w:t>
      </w:r>
      <w:r>
        <w:t xml:space="preserve"> </w:t>
      </w:r>
      <w:r>
        <w:t xml:space="preserve">test, because a cost-based account predicts it as well as a design-based one does. We say this here, and we build the argument on the evidence that does discriminate.</w:t>
      </w:r>
    </w:p>
    <w:bookmarkEnd w:id="31"/>
    <w:bookmarkEnd w:id="32"/>
    <w:bookmarkStart w:id="38" w:name="findings"/>
    <w:p>
      <w:pPr>
        <w:pStyle w:val="Heading2"/>
      </w:pPr>
      <w:r>
        <w:t xml:space="preserve">4. Findings</w:t>
      </w:r>
    </w:p>
    <w:bookmarkStart w:id="33" w:name="thailand"/>
    <w:p>
      <w:pPr>
        <w:pStyle w:val="Heading3"/>
      </w:pPr>
      <w:r>
        <w:t xml:space="preserve">4.1 Thailand</w:t>
      </w:r>
    </w:p>
    <w:p>
      <w:pPr>
        <w:pStyle w:val="FirstParagraph"/>
      </w:pPr>
      <w:r>
        <w:t xml:space="preserve">Thailand’s Board of Investment administers AI-relevant incentives through its Digital, Creative Industries and High-Value Service division, established under two 2022 announcements (Board of Investment of Thailand, 2022, 2025). Software and digital-content development qualifies for an uncapped corporate income tax exemption at an annual threshold of approximately 1.5 million baht (about US$42,000), calculated from local staff salary expenditure, which a small technical team can reach. GPU-based data hosting, the layer most directly involved in training or serving models, requires minimum capital of approximately 5,000 million baht (about US$140 million) and an extensive certification regime. These two thresholds are not strictly comparable, since one is an annual expenditure flow and the other a capital stock, so we do not compute a ratio between them. We compare realised project sizes instead (below).</w:t>
      </w:r>
    </w:p>
    <w:p>
      <w:pPr>
        <w:pStyle w:val="BodyText"/>
      </w:pPr>
      <w:r>
        <w:t xml:space="preserve">The structure is more than a binary. Baseline research and development qualifies at the same accessible threshold as software. A separate competitiveness-enhancement mechanism lets qualifying firms extend the exemption to thirteen years if they make additional investment of at least 200 million baht, representing a specified minimum share of sales over the following three years (Board of Investment of Thailand, 2022). The most generous tier is thus reserved for firms with a revenue base large enough to meet it. This is a vintage barrier that applies to software, where a cost rationale does not apply.</w:t>
      </w:r>
      <w:r>
        <w:t xml:space="preserve"> </w:t>
      </w:r>
      <w:r>
        <w:rPr>
          <w:bCs/>
          <w:b/>
        </w:rPr>
        <w:t xml:space="preserve">[VERIFY: whether this mechanism is specific to the digital division or cross-sectoral, since the answer bears on H3.]</w:t>
      </w:r>
    </w:p>
    <w:p>
      <w:pPr>
        <w:pStyle w:val="BodyText"/>
      </w:pPr>
      <w:r>
        <w:t xml:space="preserve">Realised approvals agree with the formal rules. Approval statistics for January to December 2025 show 96 approved projects under Activity 8.1.1 (software and digital platforms) with combined investment of 933.0 million baht, an average of about 9.7 million baht. Over the same period 24 approved data-centre projects under Activity 8.2.1 carried 457,999.8 million baht, an average of about 19,083 million baht, and a single data-hosting project under Activity 8.2.4 carried 126,793.0 million baht (Board of Investment of Thailand, 2026). The average data-centre project is therefore about 1,960 times the average software project in approved investment. This compares approved incentive projects, not firms.</w:t>
      </w:r>
    </w:p>
    <w:p>
      <w:pPr>
        <w:pStyle w:val="BodyText"/>
      </w:pPr>
      <w:r>
        <w:t xml:space="preserve">Ownership of registered capital differs by layer. In Activity 8.1.1 software projects, 46 per cent of registered capital is Thai-held and 54 per cent foreign-held. In data-centre projects the split is 15 per cent Thai and 85 per cent foreign. In the single data-hosting project all registered capital is foreign. The Thai-held share therefore falls from 46 to 15 to 0 per cent with depth into the infrastructure stack. This gradient rests on three points, one of which is a single project, and it is a description of who holds capital in approved projects. It does not show whether Thai firms were excluded, and it is the pattern a cost-based account also predicts (Section 5.2). Lehdonvirta, Wú and Hawkins (2025) show that the global reach of cloud data centres is shaped by the economic and security interests of a few home states, which is one reason to expect foreign capital in this layer independently of Thai incentive design.</w:t>
      </w:r>
    </w:p>
    <w:p>
      <w:pPr>
        <w:pStyle w:val="BodyText"/>
      </w:pPr>
      <w:r>
        <w:t xml:space="preserve">A further observation bears on the offshoring channel discussed in Section 2.2. The Trade and Investment Support Office category, which explicitly includes internationally delivered business-process outsourcing, receives the lowest incentive tier in the division, with no corporate income tax exemption. This is an activity exposed to AI-driven automation and receives the least support.</w:t>
      </w:r>
    </w:p>
    <w:bookmarkEnd w:id="33"/>
    <w:bookmarkStart w:id="34" w:name="vietnam"/>
    <w:p>
      <w:pPr>
        <w:pStyle w:val="Heading3"/>
      </w:pPr>
      <w:r>
        <w:t xml:space="preserve">4.2 Vietnam</w:t>
      </w:r>
    </w:p>
    <w:p>
      <w:pPr>
        <w:pStyle w:val="FirstParagraph"/>
      </w:pPr>
      <w:r>
        <w:t xml:space="preserve">Decree 260/2026, implementing the Law on High Technology, took effect on 1 July 2026 and sets two tracks (Vietnam, 2026a). The first, for recognised research centres, imposes demanding conditions: at least 60 per cent of staff in research and development (70 per cent for strategically designated technology), and research spending of 65 to 70 per cent of annual operating budget. These conditions restrict the track to purpose-built research institutions.</w:t>
      </w:r>
      <w:r>
        <w:t xml:space="preserve"> </w:t>
      </w:r>
      <w:r>
        <w:rPr>
          <w:bCs/>
          <w:b/>
        </w:rPr>
        <w:t xml:space="preserve">[VERIFY: percentage thresholds against the decree text.]</w:t>
      </w:r>
    </w:p>
    <w:p>
      <w:pPr>
        <w:pStyle w:val="BodyText"/>
      </w:pPr>
      <w:r>
        <w:t xml:space="preserve">The second track, for recognised startups, is more accessible. It requires only demonstrated revenue growth or a commercialisation-ready technology. Qualifying startups receive the full incentive package, fee exemptions for state research facilities, and priority access to the National Venture Capital Fund, a direct equity instrument distinct from the National Technology Innovation Fund, which provides subsidised lending. This is the clearest instance in our data of explicit accommodation for new firms, and part of it is delivered by direct, not tax-based, means.</w:t>
      </w:r>
      <w:r>
        <w:t xml:space="preserve"> </w:t>
      </w:r>
      <w:r>
        <w:rPr>
          <w:bCs/>
          <w:b/>
        </w:rPr>
        <w:t xml:space="preserve">[VERIFY: Article 11 provisions and the fund distinction.]</w:t>
      </w:r>
    </w:p>
    <w:p>
      <w:pPr>
        <w:pStyle w:val="BodyText"/>
      </w:pPr>
      <w:r>
        <w:t xml:space="preserve">Decision 21/2026, which replaced a 2025 list, groups thirty strategic technology products into two priority tiers (Vietnam, 2026b). The top tier, of market-ready products with large direct economic impact, includes Vietnamese-language large language models, virtual assistants and specialised AI systems, and also cloud-computing platforms as a separate line item. The lower tier, of future and foundational technologies, includes specialised chips, quantum technologies and satellite systems. Vietnam therefore places cloud and compute provision in the same top tier as models and applications and assigns specialised chips to the lower tier. Within the four-layer scheme the boundary in Vietnam falls at layer (iv), hardware manufacture, not at layers (ii) or (iii). Edge-processing AI cameras and digital-twin platforms are also top-tier items, but they are application products, and we do not count them as evidence about compute provision</w:t>
      </w:r>
      <w:r>
        <w:t xml:space="preserve"> </w:t>
      </w:r>
      <w:r>
        <w:rPr>
          <w:bCs/>
          <w:b/>
        </w:rPr>
        <w:t xml:space="preserve">[PENDING: the first coding placed them in layer (ii); recode them as layer (i) and confirm in Table S1]</w:t>
      </w:r>
      <w:r>
        <w:t xml:space="preserve">.</w:t>
      </w:r>
    </w:p>
    <w:p>
      <w:pPr>
        <w:pStyle w:val="BodyText"/>
      </w:pPr>
      <w:r>
        <w:t xml:space="preserve">Vietnam’s design differs from Thailand’s in kind. Thailand and Malaysia define eligibility through activity-specific capital thresholds. Vietnam sets priority through a list of strategic technologies that carries no stated capital rule. A list-based design does not generate a capital gradient, which may be why none appears in Vietnam. The same design moves gatekeeping to discretionary designation and to other instruments whose effect on access we have not coded, so this is a hypothesis about origin, not a finding about access.</w:t>
      </w:r>
    </w:p>
    <w:p>
      <w:pPr>
        <w:pStyle w:val="BodyText"/>
      </w:pPr>
      <w:r>
        <w:t xml:space="preserve">Vietnam’s realised concentration at the infrastructure layer, illustrated by a large AI data centre announced for Ho Chi Minh City in 2026 and financed by the country’s largest conglomerate, cannot be attributed to incentive rules that exclude smaller firms from that layer, because those rules do not do so. It is more plausibly a market-structure outcome. Government data are consistent with that reading: hardware and electronics enterprises are under 10 per cent of Vietnam’s information and communication technology enterprises but over 90 per cent of industry revenue, and are overwhelmingly foreign-invested, while software, digital content and services enterprises are predominantly domestic (Vietnam, Ministry of Information and Communications, 2024). Of 9,348 operating enterprises in computer programming and related activities at the end of 2022, 57.9 per cent employed fewer than five people and 35.7 per cent employed between five and 49 (Vietnam, General Statistics Office, 2024). That is a base of micro and small firms, which the startup carve-out would be expected to serve.</w:t>
      </w:r>
      <w:r>
        <w:t xml:space="preserve"> </w:t>
      </w:r>
      <w:r>
        <w:rPr>
          <w:bCs/>
          <w:b/>
        </w:rPr>
        <w:t xml:space="preserve">[VERIFY: all three statistical figures against the cited sources.]</w:t>
      </w:r>
    </w:p>
    <w:bookmarkEnd w:id="34"/>
    <w:bookmarkStart w:id="35" w:name="malaysia"/>
    <w:p>
      <w:pPr>
        <w:pStyle w:val="Heading3"/>
      </w:pPr>
      <w:r>
        <w:t xml:space="preserve">4.3 Malaysia</w:t>
      </w:r>
    </w:p>
    <w:p>
      <w:pPr>
        <w:pStyle w:val="FirstParagraph"/>
      </w:pPr>
      <w:r>
        <w:t xml:space="preserve">Malaysia runs two parallel schemes. The Malaysia Digital tax incentive, covering software and digital services including AI, requires only RM50,000 (about US$11,000) of minimum paid-up capital, the lowest entry threshold across the four countries (Malaysia Digital Economy Corporation, 2024). Against this stands a recurring compliance burden: an annual self-declaration verified by an externally appointed auditor at the firm’s own expense. The cost is largely fixed, so it weighs more heavily on a firm capitalised at that level. This is the mechanism Bahar et al. (2026) identify for Japan, operating here through compliance cost and not through a capital threshold.</w:t>
      </w:r>
    </w:p>
    <w:p>
      <w:pPr>
        <w:pStyle w:val="BodyText"/>
      </w:pPr>
      <w:r>
        <w:t xml:space="preserve">The Digital Ecosystem Acceleration scheme (DESAC), covering data centres and cloud infrastructure, uses a graduated structure (Malaysian Investment Development Authority, 2022). Entry-level eligibility requires RM2.5 million (about US$550,000) of paid-up capital, and the full ten-year highest-rate benefit requires cumulative capital expenditure of RM1 billion (about US$220 million), which exceeds Thailand’s threshold in dollar terms. A separate, lower threshold applies to existing firms expanding. The structure is a continuous pathway from small to large, in contrast with a single gate, but at the deepest tier its practical effect is comparable.</w:t>
      </w:r>
    </w:p>
    <w:p>
      <w:pPr>
        <w:pStyle w:val="BodyText"/>
      </w:pPr>
      <w:r>
        <w:t xml:space="preserve">In the 2025 budget address, officials indicated that the earlier approach to data-centre incentives was no longer viewed as sustainable, on the grounds that large capital-intensive projects do not reliably translate into substantial high-skilled employment for Malaysian workers, and the government has since begun a formal restructuring</w:t>
      </w:r>
      <w:r>
        <w:t xml:space="preserve"> </w:t>
      </w:r>
      <w:r>
        <w:rPr>
          <w:bCs/>
          <w:b/>
        </w:rPr>
        <w:t xml:space="preserve">[VERIFY: speaker names, dates and wording of the 2025 budget statements, which are listed as unverified]</w:t>
      </w:r>
      <w:r>
        <w:t xml:space="preserve">. This shows that policymakers saw a problem with the existing design. It does not show that firm-size bias is the cause, since a low employment yield per unit of capital is also what a capital-intensive activity produces. We therefore treat it as weak evidence between the hypotheses (Table 4).</w:t>
      </w:r>
    </w:p>
    <w:p>
      <w:pPr>
        <w:pStyle w:val="BodyText"/>
      </w:pPr>
      <w:r>
        <w:t xml:space="preserve">The scheme also requires that at least half of a data centre’s full-time staff be Malaysian nationals earning above a specified salary level. A requirement stated as a proportion is not a scale filter, since a ten-person firm can meet it as readily as a thousand-person firm, and we record it as an exploratory observation outside the central mechanism.</w:t>
      </w:r>
    </w:p>
    <w:bookmarkEnd w:id="35"/>
    <w:bookmarkStart w:id="36" w:name="the-philippines"/>
    <w:p>
      <w:pPr>
        <w:pStyle w:val="Heading3"/>
      </w:pPr>
      <w:r>
        <w:t xml:space="preserve">4.4 The Philippines</w:t>
      </w:r>
    </w:p>
    <w:p>
      <w:pPr>
        <w:pStyle w:val="FirstParagraph"/>
      </w:pPr>
      <w:r>
        <w:t xml:space="preserve">The Philippine architecture, established under the CREATE MORE Act, differs structurally from the other three (Philippines, 2024; Philippines, Fiscal Incentives Review Board, 2025). Standard registration carries no stated minimum investment; eligibility depends on inclusion in the Strategic Investment Priority Plan, on ownership qualifications and on a cost-benefit evaluation, not on firm size directly.</w:t>
      </w:r>
    </w:p>
    <w:p>
      <w:pPr>
        <w:pStyle w:val="BodyText"/>
      </w:pPr>
      <w:r>
        <w:t xml:space="preserve">Above this baseline sits a firm-scale threshold at PHP 15 billion (about US$260 million), which both defines a high-value domestic market enterprise and determines whether incentives are granted by the investment promotion agency or escalated to the Fiscal Incentives Review Board, with availment periods reaching 24 to 27 years. Beyond this the President may modify the mix, period and manner of availment, or craft a bespoke package, for a project designated highly desirable, with total incentives capped at forty years. This presidential mechanism is discretionary and, in the statutory text we examined, is not tied to a stated investment figure.</w:t>
      </w:r>
    </w:p>
    <w:p>
      <w:pPr>
        <w:pStyle w:val="BodyText"/>
      </w:pPr>
      <w:r>
        <w:t xml:space="preserve">These firm-scale tiers apply uniformly regardless of activity type, and the Strategic Investment Priority Plan groups AI and data-centre infrastructure in the same priority tier</w:t>
      </w:r>
      <w:r>
        <w:t xml:space="preserve"> </w:t>
      </w:r>
      <w:r>
        <w:rPr>
          <w:bCs/>
          <w:b/>
        </w:rPr>
        <w:t xml:space="preserve">[VERIFY: edition and date of the Plan and its exact treatment of AI relative to data-centre infrastructure]</w:t>
      </w:r>
      <w:r>
        <w:t xml:space="preserve">. The Philippines therefore encodes no boundary between AI applications and AI infrastructure; its gradient operates on firm scale alone. Cucio and Hennig (2025) find that roughly one third of Philippine occupations are highly exposed to AI, with around 60 per cent of that exposed employment complementary to AI and not substitutable by it, which suggests augmentation more than displacement for much of the exposed workforce.</w:t>
      </w:r>
    </w:p>
    <w:bookmarkEnd w:id="36"/>
    <w:bookmarkStart w:id="37" w:name="cross-country-synthesis"/>
    <w:p>
      <w:pPr>
        <w:pStyle w:val="Heading3"/>
      </w:pPr>
      <w:r>
        <w:t xml:space="preserve">4.5 Cross-country synthesis</w:t>
      </w:r>
    </w:p>
    <w:p>
      <w:pPr>
        <w:pStyle w:val="FirstParagraph"/>
      </w:pPr>
      <w:r>
        <w:t xml:space="preserve">Table 3 sets out the coded dimensions. Read through the four-layer scheme, the countries do not divide into three cases of bifurcation and one exception. They divide by where the access boundary falls.</w:t>
      </w:r>
    </w:p>
    <w:p>
      <w:pPr>
        <w:pStyle w:val="BodyText"/>
      </w:pPr>
      <w:r>
        <w:rPr>
          <w:bCs/>
          <w:b/>
        </w:rPr>
        <w:t xml:space="preserve">Table 3. Coded incentive dimensions by country and layer of the AI technology stack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Dimension</w:t>
            </w:r>
          </w:p>
        </w:tc>
        <w:tc>
          <w:tcPr/>
          <w:p>
            <w:pPr>
              <w:pStyle w:val="Compact"/>
              <w:jc w:val="left"/>
            </w:pPr>
            <w:r>
              <w:t xml:space="preserve">Thailand</w:t>
            </w:r>
          </w:p>
        </w:tc>
        <w:tc>
          <w:tcPr/>
          <w:p>
            <w:pPr>
              <w:pStyle w:val="Compact"/>
              <w:jc w:val="left"/>
            </w:pPr>
            <w:r>
              <w:t xml:space="preserve">Vietnam</w:t>
            </w:r>
          </w:p>
        </w:tc>
        <w:tc>
          <w:tcPr/>
          <w:p>
            <w:pPr>
              <w:pStyle w:val="Compact"/>
              <w:jc w:val="left"/>
            </w:pPr>
            <w:r>
              <w:t xml:space="preserve">Malaysia</w:t>
            </w:r>
          </w:p>
        </w:tc>
        <w:tc>
          <w:tcPr/>
          <w:p>
            <w:pPr>
              <w:pStyle w:val="Compact"/>
              <w:jc w:val="left"/>
            </w:pPr>
            <w:r>
              <w:t xml:space="preserve">Philippines</w:t>
            </w:r>
          </w:p>
        </w:tc>
      </w:tr>
      <w:tr>
        <w:tc>
          <w:tcPr/>
          <w:p>
            <w:pPr>
              <w:pStyle w:val="Compact"/>
              <w:jc w:val="left"/>
            </w:pPr>
            <w:r>
              <w:t xml:space="preserve">Applications and models</w:t>
            </w:r>
          </w:p>
        </w:tc>
        <w:tc>
          <w:tcPr/>
          <w:p>
            <w:pPr>
              <w:pStyle w:val="Compact"/>
              <w:jc w:val="left"/>
            </w:pPr>
            <w:r>
              <w:t xml:space="preserve">Accessible: about US$42,000 per year in local salary spend</w:t>
            </w:r>
          </w:p>
        </w:tc>
        <w:tc>
          <w:tcPr/>
          <w:p>
            <w:pPr>
              <w:pStyle w:val="Compact"/>
              <w:jc w:val="left"/>
            </w:pPr>
            <w:r>
              <w:t xml:space="preserve">Accessible: named top-tier strategic priority</w:t>
            </w:r>
          </w:p>
        </w:tc>
        <w:tc>
          <w:tcPr/>
          <w:p>
            <w:pPr>
              <w:pStyle w:val="Compact"/>
              <w:jc w:val="left"/>
            </w:pPr>
            <w:r>
              <w:t xml:space="preserve">Accessible: about US$11,000 paid-up capital</w:t>
            </w:r>
          </w:p>
        </w:tc>
        <w:tc>
          <w:tcPr/>
          <w:p>
            <w:pPr>
              <w:pStyle w:val="Compact"/>
              <w:jc w:val="left"/>
            </w:pPr>
            <w:r>
              <w:t xml:space="preserve">Accessible: no stated minimum investment</w:t>
            </w:r>
          </w:p>
        </w:tc>
      </w:tr>
      <w:tr>
        <w:tc>
          <w:tcPr/>
          <w:p>
            <w:pPr>
              <w:pStyle w:val="Compact"/>
              <w:jc w:val="left"/>
            </w:pPr>
            <w:r>
              <w:t xml:space="preserve">Cloud and compute services</w:t>
            </w:r>
          </w:p>
        </w:tc>
        <w:tc>
          <w:tcPr/>
          <w:p>
            <w:pPr>
              <w:pStyle w:val="Compact"/>
              <w:jc w:val="left"/>
            </w:pPr>
            <w:r>
              <w:t xml:space="preserve">Not separately provided for</w:t>
            </w:r>
          </w:p>
        </w:tc>
        <w:tc>
          <w:tcPr/>
          <w:p>
            <w:pPr>
              <w:pStyle w:val="Compact"/>
              <w:jc w:val="left"/>
            </w:pPr>
            <w:r>
              <w:t xml:space="preserve">Top tier, same as applications</w:t>
            </w:r>
          </w:p>
        </w:tc>
        <w:tc>
          <w:tcPr/>
          <w:p>
            <w:pPr>
              <w:pStyle w:val="Compact"/>
              <w:jc w:val="left"/>
            </w:pPr>
            <w:r>
              <w:t xml:space="preserve">Within DESAC; entry about US$550,000</w:t>
            </w:r>
          </w:p>
        </w:tc>
        <w:tc>
          <w:tcPr/>
          <w:p>
            <w:pPr>
              <w:pStyle w:val="Compact"/>
              <w:jc w:val="left"/>
            </w:pPr>
            <w:r>
              <w:t xml:space="preserve">Same priority tier as AI applications</w:t>
            </w:r>
          </w:p>
        </w:tc>
      </w:tr>
      <w:tr>
        <w:tc>
          <w:tcPr/>
          <w:p>
            <w:pPr>
              <w:pStyle w:val="Compact"/>
              <w:jc w:val="left"/>
            </w:pPr>
            <w:r>
              <w:t xml:space="preserve">Physical data-centre capacity</w:t>
            </w:r>
          </w:p>
        </w:tc>
        <w:tc>
          <w:tcPr/>
          <w:p>
            <w:pPr>
              <w:pStyle w:val="Compact"/>
              <w:jc w:val="left"/>
            </w:pPr>
            <w:r>
              <w:t xml:space="preserve">Restricted: about US$140 million minimum</w:t>
            </w:r>
          </w:p>
        </w:tc>
        <w:tc>
          <w:tcPr/>
          <w:p>
            <w:pPr>
              <w:pStyle w:val="Compact"/>
              <w:jc w:val="left"/>
            </w:pPr>
            <w:r>
              <w:t xml:space="preserve">No stated capital threshold</w:t>
            </w:r>
          </w:p>
        </w:tc>
        <w:tc>
          <w:tcPr/>
          <w:p>
            <w:pPr>
              <w:pStyle w:val="Compact"/>
              <w:jc w:val="left"/>
            </w:pPr>
            <w:r>
              <w:t xml:space="preserve">Graduated: entry about US$550,000; top tier about US$220 million</w:t>
            </w:r>
          </w:p>
        </w:tc>
        <w:tc>
          <w:tcPr/>
          <w:p>
            <w:pPr>
              <w:pStyle w:val="Compact"/>
              <w:jc w:val="left"/>
            </w:pPr>
            <w:r>
              <w:t xml:space="preserve">No stated minimum; scale tiers apply</w:t>
            </w:r>
          </w:p>
        </w:tc>
      </w:tr>
      <w:tr>
        <w:tc>
          <w:tcPr/>
          <w:p>
            <w:pPr>
              <w:pStyle w:val="Compact"/>
              <w:jc w:val="left"/>
            </w:pPr>
            <w:r>
              <w:t xml:space="preserve">Hardware manufacture</w:t>
            </w:r>
          </w:p>
        </w:tc>
        <w:tc>
          <w:tcPr/>
          <w:p>
            <w:pPr>
              <w:pStyle w:val="Compact"/>
              <w:jc w:val="left"/>
            </w:pPr>
            <w:r>
              <w:t xml:space="preserve">Separate activity divisions</w:t>
            </w:r>
          </w:p>
        </w:tc>
        <w:tc>
          <w:tcPr/>
          <w:p>
            <w:pPr>
              <w:pStyle w:val="Compact"/>
              <w:jc w:val="left"/>
            </w:pPr>
            <w:r>
              <w:t xml:space="preserve">Lower priority tier (specialised chips)</w:t>
            </w:r>
          </w:p>
        </w:tc>
        <w:tc>
          <w:tcPr/>
          <w:p>
            <w:pPr>
              <w:pStyle w:val="Compact"/>
              <w:jc w:val="left"/>
            </w:pPr>
            <w:r>
              <w:t xml:space="preserve">Separate schemes</w:t>
            </w:r>
          </w:p>
        </w:tc>
        <w:tc>
          <w:tcPr/>
          <w:p>
            <w:pPr>
              <w:pStyle w:val="Compact"/>
              <w:jc w:val="left"/>
            </w:pPr>
            <w:r>
              <w:t xml:space="preserve">No distinct treatment</w:t>
            </w:r>
          </w:p>
        </w:tc>
      </w:tr>
      <w:tr>
        <w:tc>
          <w:tcPr/>
          <w:p>
            <w:pPr>
              <w:pStyle w:val="Compact"/>
              <w:jc w:val="left"/>
            </w:pPr>
            <w:r>
              <w:t xml:space="preserve">Instrument below facility scale</w:t>
            </w:r>
          </w:p>
        </w:tc>
        <w:tc>
          <w:tcPr/>
          <w:p>
            <w:pPr>
              <w:pStyle w:val="Compact"/>
              <w:jc w:val="left"/>
            </w:pPr>
            <w:r>
              <w:t xml:space="preserve">None identified (</w:t>
            </w:r>
            <w:r>
              <w:rPr>
                <w:bCs/>
                <w:b/>
              </w:rPr>
              <w:t xml:space="preserve">PENDING</w:t>
            </w:r>
            <w:r>
              <w:t xml:space="preserve"> </w:t>
            </w:r>
            <w:r>
              <w:t xml:space="preserve">search protocol)</w:t>
            </w:r>
          </w:p>
        </w:tc>
        <w:tc>
          <w:tcPr/>
          <w:p>
            <w:pPr>
              <w:pStyle w:val="Compact"/>
              <w:jc w:val="left"/>
            </w:pPr>
            <w:r>
              <w:t xml:space="preserve">None identified (</w:t>
            </w:r>
            <w:r>
              <w:rPr>
                <w:bCs/>
                <w:b/>
              </w:rPr>
              <w:t xml:space="preserve">PENDING</w:t>
            </w:r>
            <w:r>
              <w:t xml:space="preserve">)</w:t>
            </w:r>
          </w:p>
        </w:tc>
        <w:tc>
          <w:tcPr/>
          <w:p>
            <w:pPr>
              <w:pStyle w:val="Compact"/>
              <w:jc w:val="left"/>
            </w:pPr>
            <w:r>
              <w:t xml:space="preserve">None identified (</w:t>
            </w:r>
            <w:r>
              <w:rPr>
                <w:bCs/>
                <w:b/>
              </w:rPr>
              <w:t xml:space="preserve">PENDING</w:t>
            </w:r>
            <w:r>
              <w:t xml:space="preserve">)</w:t>
            </w:r>
          </w:p>
        </w:tc>
        <w:tc>
          <w:tcPr/>
          <w:p>
            <w:pPr>
              <w:pStyle w:val="Compact"/>
              <w:jc w:val="left"/>
            </w:pPr>
            <w:r>
              <w:t xml:space="preserve">None identified (</w:t>
            </w:r>
            <w:r>
              <w:rPr>
                <w:bCs/>
                <w:b/>
              </w:rPr>
              <w:t xml:space="preserve">PENDING</w:t>
            </w:r>
            <w:r>
              <w:t xml:space="preserve">)</w:t>
            </w:r>
          </w:p>
        </w:tc>
      </w:tr>
      <w:tr>
        <w:tc>
          <w:tcPr/>
          <w:p>
            <w:pPr>
              <w:pStyle w:val="Compact"/>
              <w:jc w:val="left"/>
            </w:pPr>
            <w:r>
              <w:t xml:space="preserve">Accommodation for small or new firms</w:t>
            </w:r>
          </w:p>
        </w:tc>
        <w:tc>
          <w:tcPr/>
          <w:p>
            <w:pPr>
              <w:pStyle w:val="Compact"/>
              <w:jc w:val="left"/>
            </w:pPr>
            <w:r>
              <w:t xml:space="preserve">None within AI categories</w:t>
            </w:r>
          </w:p>
        </w:tc>
        <w:tc>
          <w:tcPr/>
          <w:p>
            <w:pPr>
              <w:pStyle w:val="Compact"/>
              <w:jc w:val="left"/>
            </w:pPr>
            <w:r>
              <w:t xml:space="preserve">Startup track (Decree 260, Art. 11)</w:t>
            </w:r>
          </w:p>
        </w:tc>
        <w:tc>
          <w:tcPr/>
          <w:p>
            <w:pPr>
              <w:pStyle w:val="Compact"/>
              <w:jc w:val="left"/>
            </w:pPr>
            <w:r>
              <w:t xml:space="preserve">None; entry capital bar is low instead</w:t>
            </w:r>
          </w:p>
        </w:tc>
        <w:tc>
          <w:tcPr/>
          <w:p>
            <w:pPr>
              <w:pStyle w:val="Compact"/>
              <w:jc w:val="left"/>
            </w:pPr>
            <w:r>
              <w:t xml:space="preserve">None activity-specific</w:t>
            </w:r>
          </w:p>
        </w:tc>
      </w:tr>
      <w:tr>
        <w:tc>
          <w:tcPr/>
          <w:p>
            <w:pPr>
              <w:pStyle w:val="Compact"/>
              <w:jc w:val="left"/>
            </w:pPr>
            <w:r>
              <w:t xml:space="preserve">Delivery mechanism at accessible tier</w:t>
            </w:r>
          </w:p>
        </w:tc>
        <w:tc>
          <w:tcPr/>
          <w:p>
            <w:pPr>
              <w:pStyle w:val="Compact"/>
              <w:jc w:val="left"/>
            </w:pPr>
            <w:r>
              <w:t xml:space="preserve">Indirect (tax exemption)</w:t>
            </w:r>
          </w:p>
        </w:tc>
        <w:tc>
          <w:tcPr/>
          <w:p>
            <w:pPr>
              <w:pStyle w:val="Compact"/>
              <w:jc w:val="left"/>
            </w:pPr>
            <w:r>
              <w:t xml:space="preserve">Tax plus direct equity access</w:t>
            </w:r>
          </w:p>
        </w:tc>
        <w:tc>
          <w:tcPr/>
          <w:p>
            <w:pPr>
              <w:pStyle w:val="Compact"/>
              <w:jc w:val="left"/>
            </w:pPr>
            <w:r>
              <w:t xml:space="preserve">Indirect (tax exemption)</w:t>
            </w:r>
          </w:p>
        </w:tc>
        <w:tc>
          <w:tcPr/>
          <w:p>
            <w:pPr>
              <w:pStyle w:val="Compact"/>
              <w:jc w:val="left"/>
            </w:pPr>
            <w:r>
              <w:t xml:space="preserve">Indirect (tax exemption)</w:t>
            </w:r>
          </w:p>
        </w:tc>
      </w:tr>
      <w:tr>
        <w:tc>
          <w:tcPr/>
          <w:p>
            <w:pPr>
              <w:pStyle w:val="Compact"/>
              <w:jc w:val="left"/>
            </w:pPr>
            <w:r>
              <w:t xml:space="preserve">Recurring compliance burden</w:t>
            </w:r>
          </w:p>
        </w:tc>
        <w:tc>
          <w:tcPr/>
          <w:p>
            <w:pPr>
              <w:pStyle w:val="Compact"/>
              <w:jc w:val="left"/>
            </w:pPr>
            <w:r>
              <w:t xml:space="preserve">Certification regime at infrastructure tier</w:t>
            </w:r>
          </w:p>
        </w:tc>
        <w:tc>
          <w:tcPr/>
          <w:p>
            <w:pPr>
              <w:pStyle w:val="Compact"/>
              <w:jc w:val="left"/>
            </w:pPr>
            <w:r>
              <w:t xml:space="preserve">R&amp;D staffing and spending ratios (research track)</w:t>
            </w:r>
          </w:p>
        </w:tc>
        <w:tc>
          <w:tcPr/>
          <w:p>
            <w:pPr>
              <w:pStyle w:val="Compact"/>
              <w:jc w:val="left"/>
            </w:pPr>
            <w:r>
              <w:t xml:space="preserve">Annual auditor-verified self-declaration</w:t>
            </w:r>
          </w:p>
        </w:tc>
        <w:tc>
          <w:tcPr/>
          <w:p>
            <w:pPr>
              <w:pStyle w:val="Compact"/>
              <w:jc w:val="left"/>
            </w:pPr>
            <w:r>
              <w:t xml:space="preserve">FIRB escalation above PHP 15 billion</w:t>
            </w:r>
          </w:p>
        </w:tc>
      </w:tr>
      <w:tr>
        <w:tc>
          <w:tcPr/>
          <w:p>
            <w:pPr>
              <w:pStyle w:val="Compact"/>
              <w:jc w:val="left"/>
            </w:pPr>
            <w:r>
              <w:t xml:space="preserve">Realised Thai-held share of registered capital, by layer</w:t>
            </w:r>
          </w:p>
        </w:tc>
        <w:tc>
          <w:tcPr/>
          <w:p>
            <w:pPr>
              <w:pStyle w:val="Compact"/>
              <w:jc w:val="left"/>
            </w:pPr>
            <w:r>
              <w:t xml:space="preserve">46% (software), 15% (data centres), 0% (one data-hosting project)</w:t>
            </w:r>
          </w:p>
        </w:tc>
        <w:tc>
          <w:tcPr/>
          <w:p>
            <w:pPr>
              <w:pStyle w:val="Compact"/>
              <w:jc w:val="left"/>
            </w:pPr>
            <w:r>
              <w:t xml:space="preserve">Not published in comparable form</w:t>
            </w:r>
          </w:p>
        </w:tc>
        <w:tc>
          <w:tcPr/>
          <w:p>
            <w:pPr>
              <w:pStyle w:val="Compact"/>
              <w:jc w:val="left"/>
            </w:pPr>
            <w:r>
              <w:t xml:space="preserve">Not published in comparable form</w:t>
            </w:r>
          </w:p>
        </w:tc>
        <w:tc>
          <w:tcPr/>
          <w:p>
            <w:pPr>
              <w:pStyle w:val="Compact"/>
              <w:jc w:val="left"/>
            </w:pPr>
            <w:r>
              <w:t xml:space="preserve">Not published in comparable form</w:t>
            </w:r>
          </w:p>
        </w:tc>
      </w:tr>
      <w:tr>
        <w:tc>
          <w:tcPr/>
          <w:p>
            <w:pPr>
              <w:pStyle w:val="Compact"/>
              <w:jc w:val="left"/>
            </w:pPr>
            <w:r>
              <w:t xml:space="preserve">Where the access boundary falls</w:t>
            </w:r>
          </w:p>
        </w:tc>
        <w:tc>
          <w:tcPr/>
          <w:p>
            <w:pPr>
              <w:pStyle w:val="Compact"/>
              <w:jc w:val="left"/>
            </w:pPr>
            <w:r>
              <w:t xml:space="preserve">Physical data-centre capacity (single cutoff)</w:t>
            </w:r>
          </w:p>
        </w:tc>
        <w:tc>
          <w:tcPr/>
          <w:p>
            <w:pPr>
              <w:pStyle w:val="Compact"/>
              <w:jc w:val="left"/>
            </w:pPr>
            <w:r>
              <w:t xml:space="preserve">Hardware manufacture</w:t>
            </w:r>
          </w:p>
        </w:tc>
        <w:tc>
          <w:tcPr/>
          <w:p>
            <w:pPr>
              <w:pStyle w:val="Compact"/>
              <w:jc w:val="left"/>
            </w:pPr>
            <w:r>
              <w:t xml:space="preserve">Physical data-centre capacity (graduated)</w:t>
            </w:r>
          </w:p>
        </w:tc>
        <w:tc>
          <w:tcPr/>
          <w:p>
            <w:pPr>
              <w:pStyle w:val="Compact"/>
              <w:jc w:val="left"/>
            </w:pPr>
            <w:r>
              <w:t xml:space="preserve">No activity boundary; firm scale only</w:t>
            </w:r>
          </w:p>
        </w:tc>
      </w:tr>
      <w:tr>
        <w:tc>
          <w:tcPr/>
          <w:p>
            <w:pPr>
              <w:pStyle w:val="Compact"/>
              <w:jc w:val="left"/>
            </w:pPr>
            <w:r>
              <w:t xml:space="preserve">Middle-income trap classification (Bianchi et al., 2024; used only for case selection)</w:t>
            </w:r>
          </w:p>
        </w:tc>
        <w:tc>
          <w:tcPr/>
          <w:p>
            <w:pPr>
              <w:pStyle w:val="Compact"/>
              <w:jc w:val="left"/>
            </w:pPr>
            <w:r>
              <w:t xml:space="preserve">Trapped by duration, structural progress</w:t>
            </w:r>
          </w:p>
        </w:tc>
        <w:tc>
          <w:tcPr/>
          <w:p>
            <w:pPr>
              <w:pStyle w:val="Compact"/>
              <w:jc w:val="left"/>
            </w:pPr>
            <w:r>
              <w:t xml:space="preserve">Threshold-crossing, no trap history</w:t>
            </w:r>
          </w:p>
        </w:tc>
        <w:tc>
          <w:tcPr/>
          <w:p>
            <w:pPr>
              <w:pStyle w:val="Compact"/>
              <w:jc w:val="left"/>
            </w:pPr>
            <w:r>
              <w:t xml:space="preserve">Trapped by duration, same category as Thailand</w:t>
            </w:r>
          </w:p>
        </w:tc>
        <w:tc>
          <w:tcPr/>
          <w:p>
            <w:pPr>
              <w:pStyle w:val="Compact"/>
              <w:jc w:val="left"/>
            </w:pPr>
            <w:r>
              <w:t xml:space="preserve">Threshold-crossing, prior trap at lower band</w:t>
            </w:r>
          </w:p>
        </w:tc>
      </w:tr>
      <w:tr>
        <w:tc>
          <w:tcPr/>
          <w:p>
            <w:pPr>
              <w:pStyle w:val="Compact"/>
              <w:jc w:val="left"/>
            </w:pPr>
            <w:r>
              <w:t xml:space="preserve">Covered by the middle-technology trap account of Ke (2024) (not a finding of this paper)</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r>
    </w:tbl>
    <w:p>
      <w:pPr>
        <w:pStyle w:val="BodyText"/>
      </w:pPr>
      <w:r>
        <w:rPr>
          <w:iCs/>
          <w:i/>
        </w:rPr>
        <w:t xml:space="preserve">Note.</w:t>
      </w:r>
      <w:r>
        <w:t xml:space="preserve"> </w:t>
      </w:r>
      <w:r>
        <w:t xml:space="preserve">Figures are approximate, converted from local currency at the rate when each instrument was coded</w:t>
      </w:r>
      <w:r>
        <w:t xml:space="preserve"> </w:t>
      </w:r>
      <w:r>
        <w:rPr>
          <w:bCs/>
          <w:b/>
        </w:rPr>
        <w:t xml:space="preserve">[PENDING: dates and rates]</w:t>
      </w:r>
      <w:r>
        <w:t xml:space="preserve">. Constructed from the primary documents in Table 2. DESAC = Digital Ecosystem Acceleration scheme; FIRB = Fiscal Incentives Review Board.</w:t>
      </w:r>
    </w:p>
    <w:p>
      <w:pPr>
        <w:pStyle w:val="BodyText"/>
      </w:pPr>
      <w:r>
        <w:t xml:space="preserve">We read the table along each dimension.</w:t>
      </w:r>
    </w:p>
    <w:p>
      <w:pPr>
        <w:pStyle w:val="BodyText"/>
      </w:pPr>
      <w:r>
        <w:rPr>
          <w:bCs/>
          <w:b/>
        </w:rPr>
        <w:t xml:space="preserve">Layer.</w:t>
      </w:r>
      <w:r>
        <w:t xml:space="preserve"> </w:t>
      </w:r>
      <w:r>
        <w:t xml:space="preserve">Thailand and Malaysia draw the boundary at data-centre capacity; Vietnam at hardware manufacture; the Philippines draws no boundary by activity. All four make the application layer accessible.</w:t>
      </w:r>
    </w:p>
    <w:p>
      <w:pPr>
        <w:pStyle w:val="BodyText"/>
      </w:pPr>
      <w:r>
        <w:rPr>
          <w:bCs/>
          <w:b/>
        </w:rPr>
        <w:t xml:space="preserve">Scale.</w:t>
      </w:r>
      <w:r>
        <w:t xml:space="preserve"> </w:t>
      </w:r>
      <w:r>
        <w:t xml:space="preserve">Entry thresholds at the application layer are low in every country (about US$11,000 to 42,000, or none stated). At the data-centre layer they range from about US$550,000 (Malaysia, entry tier) to about US$140 million (Thailand) and US$220 million (Malaysia, top tier). Vietnam states none, and the Philippines applies one firm-scale tier (PHP 15 billion) that is not specific to the layer.</w:t>
      </w:r>
    </w:p>
    <w:p>
      <w:pPr>
        <w:pStyle w:val="BodyText"/>
      </w:pPr>
      <w:r>
        <w:rPr>
          <w:bCs/>
          <w:b/>
        </w:rPr>
        <w:t xml:space="preserve">Vintage.</w:t>
      </w:r>
      <w:r>
        <w:t xml:space="preserve"> </w:t>
      </w:r>
      <w:r>
        <w:t xml:space="preserve">Only Vietnam has an explicit startup track. Thailand’s most generous research tier and the Philippines’ escalation tier presuppose scale or a revenue base. Malaysia’s lowest tier presupposes a fixed compliance cost.</w:t>
      </w:r>
    </w:p>
    <w:p>
      <w:pPr>
        <w:pStyle w:val="BodyText"/>
      </w:pPr>
      <w:r>
        <w:rPr>
          <w:bCs/>
          <w:b/>
        </w:rPr>
        <w:t xml:space="preserve">Delivery.</w:t>
      </w:r>
      <w:r>
        <w:t xml:space="preserve"> </w:t>
      </w:r>
      <w:r>
        <w:t xml:space="preserve">Three of the four deliver the accessible tier entirely through indirect, tax-based instruments, which presuppose taxable profit. Only Vietnam adds a direct instrument (equity access).</w:t>
      </w:r>
    </w:p>
    <w:p>
      <w:pPr>
        <w:pStyle w:val="BodyText"/>
      </w:pPr>
      <w:r>
        <w:rPr>
          <w:bCs/>
          <w:b/>
        </w:rPr>
        <w:t xml:space="preserve">Is the pattern specific to AI?</w:t>
      </w:r>
      <w:r>
        <w:t xml:space="preserve"> </w:t>
      </w:r>
      <w:r>
        <w:t xml:space="preserve">The Philippines’ uniform scale tiers and Thailand’s competitiveness mechanism look like general investment-promotion templates that AI was placed under, a reading consistent with H3.</w:t>
      </w:r>
      <w:r>
        <w:t xml:space="preserve"> </w:t>
      </w:r>
      <w:r>
        <w:rPr>
          <w:bCs/>
          <w:b/>
        </w:rPr>
        <w:t xml:space="preserve">[PENDING: confirm by comparing each AI-related instrument with the same country’s pre-AI instruments for other sectors; this requires the general-instrument coding in Section 3.3.]</w:t>
      </w:r>
    </w:p>
    <w:p>
      <w:pPr>
        <w:pStyle w:val="BodyText"/>
      </w:pPr>
      <w:r>
        <w:rPr>
          <w:bCs/>
          <w:b/>
        </w:rPr>
        <w:t xml:space="preserve">Why does Vietnam differ?</w:t>
      </w:r>
      <w:r>
        <w:t xml:space="preserve"> </w:t>
      </w:r>
      <w:r>
        <w:t xml:space="preserve">The most direct explanation is the difference in instrument type noted in Section 4.2: a priority list without capital rules, against activity-specific thresholds. Vietnam’s law is also the most recent of the four, written after cloud and AI became explicit policy priorities. We offer these as hypotheses; we cannot test them with the present data.</w:t>
      </w:r>
    </w:p>
    <w:p>
      <w:pPr>
        <w:pStyle w:val="BodyText"/>
      </w:pPr>
      <w:r>
        <w:t xml:space="preserve">The regularity common to all four countries is narrower than a bifurcation claim, and better supported: none provides an AI-related instrument for compute provision below facility scale. Incentives exist for building data centres and, in Vietnam and the Philippines, for providing cloud services. None is aimed at the intermediate forms through which smaller firms obtain or supply compute, such as colocation tenancy, modular or edge deployment, or resale of leased capacity. Section 5.1 assesses what explains it.</w:t>
      </w:r>
    </w:p>
    <w:bookmarkEnd w:id="37"/>
    <w:bookmarkEnd w:id="38"/>
    <w:bookmarkStart w:id="43" w:name="discussion"/>
    <w:p>
      <w:pPr>
        <w:pStyle w:val="Heading2"/>
      </w:pPr>
      <w:r>
        <w:t xml:space="preserve">5. Discussion</w:t>
      </w:r>
    </w:p>
    <w:bookmarkStart w:id="39" w:name="cost-necessity-versus-incentive-design"/>
    <w:p>
      <w:pPr>
        <w:pStyle w:val="Heading3"/>
      </w:pPr>
      <w:r>
        <w:t xml:space="preserve">5.1 Cost necessity versus incentive design</w:t>
      </w:r>
    </w:p>
    <w:p>
      <w:pPr>
        <w:pStyle w:val="FirstParagraph"/>
      </w:pPr>
      <w:r>
        <w:t xml:space="preserve">The most serious challenge to a design reading is H1: high thresholds at the infrastructure layer reflect the real cost of building data centres. Published benchmarks let us assess this. Global average data-centre construction cost reached about US$10.7 million per megawatt in 2025, up from US$6 to 8 million before 2022 (Turner and Townsend, 2025). Estimates that include servers and networking for AI facilities imply far more, about US$38 billion for a one-gigawatt facility (Epoch AI, 2026). On the first figure Thailand’s US$140 million threshold corresponds to about 13 megawatts of construction, and on the second to under four megawatts of fully equipped AI capacity. Either way it falls below the 40-megawatt scale commonly used to define hyperscale facilities</w:t>
      </w:r>
      <w:r>
        <w:t xml:space="preserve"> </w:t>
      </w:r>
      <w:r>
        <w:rPr>
          <w:bCs/>
          <w:b/>
        </w:rPr>
        <w:t xml:space="preserve">[CITATION NEEDED: source for the 40 MW hyperscale definition]</w:t>
      </w:r>
      <w:r>
        <w:t xml:space="preserve">.</w:t>
      </w:r>
    </w:p>
    <w:p>
      <w:pPr>
        <w:pStyle w:val="BodyText"/>
      </w:pPr>
      <w:r>
        <w:t xml:space="preserve">We therefore concede that the threshold is not set at an arbitrary or unattainable level relative to construction cost. H1 accounts for the height of the infrastructure threshold (prediction P1a), and the software-to-infrastructure gap should not be read as evidence of bias.</w:t>
      </w:r>
    </w:p>
    <w:p>
      <w:pPr>
        <w:pStyle w:val="BodyText"/>
      </w:pPr>
      <w:r>
        <w:t xml:space="preserve">What H1 does not account for is the absence of intermediate instruments (P1b). The prediction holds only if no smaller viable scale of provision exists. That auxiliary assumption can be checked, and it appears not to hold. A single eight-accelerator server draws roughly twelve kilowatts</w:t>
      </w:r>
      <w:r>
        <w:t xml:space="preserve"> </w:t>
      </w:r>
      <w:r>
        <w:rPr>
          <w:bCs/>
          <w:b/>
        </w:rPr>
        <w:t xml:space="preserve">[CITATION NEEDED: manufacturer specification]</w:t>
      </w:r>
      <w:r>
        <w:t xml:space="preserve">, and commercial colocation providers accept deployments in the five-to-twenty-kilowatt range without megawatt minimums</w:t>
      </w:r>
      <w:r>
        <w:t xml:space="preserve"> </w:t>
      </w:r>
      <w:r>
        <w:rPr>
          <w:bCs/>
          <w:b/>
        </w:rPr>
        <w:t xml:space="preserve">[CITATION NEEDED: provider terms or industry source]</w:t>
      </w:r>
      <w:r>
        <w:t xml:space="preserve">. Firms can and do provide AI compute at this scale. A cost account predicts a high threshold for facility construction. It does not predict the absence of any instrument for compute provision two to three orders of magnitude below facility scale (a facility of tens of megawatts against a rack of ten to twenty kilowatts), while instruments exist for software development at the scale of a small team. Both H2 and H3 predict this absence, with different origins. The absence is a design outcome and not a cost constraint, subject to two checks in Section 3.3 that are still pending: the search protocol and the coding of general-purpose instruments.</w:t>
      </w:r>
    </w:p>
    <w:bookmarkEnd w:id="39"/>
    <w:bookmarkStart w:id="40" w:name="Xe429b4f7ef8fb24865192b28fb189dc3a50c53d"/>
    <w:p>
      <w:pPr>
        <w:pStyle w:val="Heading3"/>
      </w:pPr>
      <w:r>
        <w:t xml:space="preserve">5.2 Ownership: what the data can and cannot show</w:t>
      </w:r>
    </w:p>
    <w:p>
      <w:pPr>
        <w:pStyle w:val="FirstParagraph"/>
      </w:pPr>
      <w:r>
        <w:t xml:space="preserve">Foreign capital is a larger share of registered capital in Thailand’s infrastructure layers than in its software layer. This is an observation about capital structure. It does not show that Thai firms were excluded, nor that Thailand failed to accumulate technological capability. A cost-based account predicts it, since the layers with the largest capital requirements attract the firms with the deepest capital, which for data centres are global operators (Lehdonvirta et al., 2025). Ke (2024) describes the trap in the ASEAN Four as one in which multinationals retain core capability at home, and the gradient is consistent with that account, but it cannot distinguish it from capital-intensity effects.</w:t>
      </w:r>
    </w:p>
    <w:p>
      <w:pPr>
        <w:pStyle w:val="BodyText"/>
      </w:pPr>
      <w:r>
        <w:t xml:space="preserve">Vietnam’s confirmed infrastructure investment is domestic and concentrated in its largest conglomerate. This also does not show that domestic incumbents have captured the market or the incentive system. That conclusion would need further evidence of the kind Doner and Schneider (2016) discuss: restrictions on competitor entry, discriminatory distribution of support, or constraints on technology transfer and learning. In our data the incentive rules do not exclude other firms from the compute layer (Section 4.2), so the rules do not show capture.</w:t>
      </w:r>
    </w:p>
    <w:p>
      <w:pPr>
        <w:pStyle w:val="BodyText"/>
      </w:pPr>
      <w:r>
        <w:t xml:space="preserve">The two country patterns are different phenomena and imply different questions. In Thailand the question is whether technology-transfer or local-content conditions on foreign investment would change the learning domestic firms gain. In Vietnam it is whether competition or access conditions for smaller firms matter in a market that a single conglomerate leads. Whether Thailand’s ownership gradient holds elsewhere requires approval data these governments do not publish in comparable form.</w:t>
      </w:r>
    </w:p>
    <w:bookmarkEnd w:id="40"/>
    <w:bookmarkStart w:id="41" w:name="what-the-evidence-supports"/>
    <w:p>
      <w:pPr>
        <w:pStyle w:val="Heading3"/>
      </w:pPr>
      <w:r>
        <w:t xml:space="preserve">5.3 What the evidence supports</w:t>
      </w:r>
    </w:p>
    <w:p>
      <w:pPr>
        <w:pStyle w:val="FirstParagraph"/>
      </w:pPr>
      <w:r>
        <w:t xml:space="preserve">Table 4 applies the rubric of Table 1 to each item of evidence.</w:t>
      </w:r>
    </w:p>
    <w:p>
      <w:pPr>
        <w:pStyle w:val="BodyText"/>
      </w:pPr>
      <w:r>
        <w:rPr>
          <w:bCs/>
          <w:b/>
        </w:rPr>
        <w:t xml:space="preserve">Table 4. Evidence matrix: how each explanation fares, with the evidence that would change the rating</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Evidence</w:t>
            </w:r>
          </w:p>
        </w:tc>
        <w:tc>
          <w:tcPr/>
          <w:p>
            <w:pPr>
              <w:pStyle w:val="Compact"/>
              <w:jc w:val="left"/>
            </w:pPr>
            <w:r>
              <w:t xml:space="preserve">H1 cost</w:t>
            </w:r>
          </w:p>
        </w:tc>
        <w:tc>
          <w:tcPr/>
          <w:p>
            <w:pPr>
              <w:pStyle w:val="Compact"/>
              <w:jc w:val="left"/>
            </w:pPr>
            <w:r>
              <w:t xml:space="preserve">H2 design</w:t>
            </w:r>
          </w:p>
        </w:tc>
        <w:tc>
          <w:tcPr/>
          <w:p>
            <w:pPr>
              <w:pStyle w:val="Compact"/>
              <w:jc w:val="left"/>
            </w:pPr>
            <w:r>
              <w:t xml:space="preserve">H3 habit</w:t>
            </w:r>
          </w:p>
        </w:tc>
        <w:tc>
          <w:tcPr/>
          <w:p>
            <w:pPr>
              <w:pStyle w:val="Compact"/>
              <w:jc w:val="left"/>
            </w:pPr>
            <w:r>
              <w:t xml:space="preserve">Weight</w:t>
            </w:r>
          </w:p>
        </w:tc>
        <w:tc>
          <w:tcPr/>
          <w:p>
            <w:pPr>
              <w:pStyle w:val="Compact"/>
              <w:jc w:val="left"/>
            </w:pPr>
            <w:r>
              <w:t xml:space="preserve">What would change the rating</w:t>
            </w:r>
          </w:p>
        </w:tc>
      </w:tr>
      <w:tr>
        <w:tc>
          <w:tcPr/>
          <w:p>
            <w:pPr>
              <w:pStyle w:val="Compact"/>
              <w:jc w:val="left"/>
            </w:pPr>
            <w:r>
              <w:t xml:space="preserve">E1</w:t>
            </w:r>
          </w:p>
        </w:tc>
        <w:tc>
          <w:tcPr/>
          <w:p>
            <w:pPr>
              <w:pStyle w:val="Compact"/>
              <w:jc w:val="left"/>
            </w:pPr>
            <w:r>
              <w:t xml:space="preserve">Threshold gap between software and physical infrastructure (Thailand, Malaysia)</w:t>
            </w:r>
          </w:p>
        </w:tc>
        <w:tc>
          <w:tcPr/>
          <w:p>
            <w:pPr>
              <w:pStyle w:val="Compact"/>
              <w:jc w:val="left"/>
            </w:pPr>
            <w:r>
              <w:t xml:space="preserve">E</w:t>
            </w:r>
          </w:p>
        </w:tc>
        <w:tc>
          <w:tcPr/>
          <w:p>
            <w:pPr>
              <w:pStyle w:val="Compact"/>
              <w:jc w:val="left"/>
            </w:pPr>
            <w:r>
              <w:t xml:space="preserve">C</w:t>
            </w:r>
          </w:p>
        </w:tc>
        <w:tc>
          <w:tcPr/>
          <w:p>
            <w:pPr>
              <w:pStyle w:val="Compact"/>
              <w:jc w:val="left"/>
            </w:pPr>
            <w:r>
              <w:t xml:space="preserve">C</w:t>
            </w:r>
          </w:p>
        </w:tc>
        <w:tc>
          <w:tcPr/>
          <w:p>
            <w:pPr>
              <w:pStyle w:val="Compact"/>
              <w:jc w:val="left"/>
            </w:pPr>
            <w:r>
              <w:t xml:space="preserve">Weak: all three compatible</w:t>
            </w:r>
          </w:p>
        </w:tc>
        <w:tc>
          <w:tcPr/>
          <w:p>
            <w:pPr>
              <w:pStyle w:val="Compact"/>
              <w:jc w:val="left"/>
            </w:pPr>
            <w:r>
              <w:t xml:space="preserve">Not diagnostic whatever the verification result</w:t>
            </w:r>
          </w:p>
        </w:tc>
      </w:tr>
      <w:tr>
        <w:tc>
          <w:tcPr/>
          <w:p>
            <w:pPr>
              <w:pStyle w:val="Compact"/>
              <w:jc w:val="left"/>
            </w:pPr>
            <w:r>
              <w:t xml:space="preserve">E2</w:t>
            </w:r>
          </w:p>
        </w:tc>
        <w:tc>
          <w:tcPr/>
          <w:p>
            <w:pPr>
              <w:pStyle w:val="Compact"/>
              <w:jc w:val="left"/>
            </w:pPr>
            <w:r>
              <w:t xml:space="preserve">No AI-related instrument for compute provision below facility scale (all four; provisional, pending search protocol and general-instrument coding)</w:t>
            </w:r>
          </w:p>
        </w:tc>
        <w:tc>
          <w:tcPr/>
          <w:p>
            <w:pPr>
              <w:pStyle w:val="Compact"/>
              <w:jc w:val="left"/>
            </w:pPr>
            <w:r>
              <w:t xml:space="preserve">U (needs the auxiliary assumption of no viable small scale; see 5.1)</w:t>
            </w:r>
          </w:p>
        </w:tc>
        <w:tc>
          <w:tcPr/>
          <w:p>
            <w:pPr>
              <w:pStyle w:val="Compact"/>
              <w:jc w:val="left"/>
            </w:pPr>
            <w:r>
              <w:t xml:space="preserve">E</w:t>
            </w:r>
          </w:p>
        </w:tc>
        <w:tc>
          <w:tcPr/>
          <w:p>
            <w:pPr>
              <w:pStyle w:val="Compact"/>
              <w:jc w:val="left"/>
            </w:pPr>
            <w:r>
              <w:t xml:space="preserve">C</w:t>
            </w:r>
          </w:p>
        </w:tc>
        <w:tc>
          <w:tcPr/>
          <w:p>
            <w:pPr>
              <w:pStyle w:val="Compact"/>
              <w:jc w:val="left"/>
            </w:pPr>
            <w:r>
              <w:t xml:space="preserve">Moderate: depends on an auxiliary assumption and on pending checks</w:t>
            </w:r>
          </w:p>
        </w:tc>
        <w:tc>
          <w:tcPr/>
          <w:p>
            <w:pPr>
              <w:pStyle w:val="Compact"/>
              <w:jc w:val="left"/>
            </w:pPr>
            <w:r>
              <w:t xml:space="preserve">An applicable general or AI-specific instrument for colocation, resale or modular compute would move H2 to C. Evidence that sub-facility provision is not viable would move H1 to E</w:t>
            </w:r>
          </w:p>
        </w:tc>
      </w:tr>
      <w:tr>
        <w:tc>
          <w:tcPr/>
          <w:p>
            <w:pPr>
              <w:pStyle w:val="Compact"/>
              <w:jc w:val="left"/>
            </w:pPr>
            <w:r>
              <w:t xml:space="preserve">E3</w:t>
            </w:r>
          </w:p>
        </w:tc>
        <w:tc>
          <w:tcPr/>
          <w:p>
            <w:pPr>
              <w:pStyle w:val="Compact"/>
              <w:jc w:val="left"/>
            </w:pPr>
            <w:r>
              <w:t xml:space="preserve">Most generous research tier requires investment against an existing revenue base (Thailand)</w:t>
            </w:r>
          </w:p>
        </w:tc>
        <w:tc>
          <w:tcPr/>
          <w:p>
            <w:pPr>
              <w:pStyle w:val="Compact"/>
              <w:jc w:val="left"/>
            </w:pPr>
            <w:r>
              <w:t xml:space="preserve">U (applies to software, where cost rationale does not hold)</w:t>
            </w:r>
          </w:p>
        </w:tc>
        <w:tc>
          <w:tcPr/>
          <w:p>
            <w:pPr>
              <w:pStyle w:val="Compact"/>
              <w:jc w:val="left"/>
            </w:pPr>
            <w:r>
              <w:t xml:space="preserve">E</w:t>
            </w:r>
          </w:p>
        </w:tc>
        <w:tc>
          <w:tcPr/>
          <w:p>
            <w:pPr>
              <w:pStyle w:val="Compact"/>
              <w:jc w:val="left"/>
            </w:pPr>
            <w:r>
              <w:t xml:space="preserve">C (if the mechanism is cross-sectoral)</w:t>
            </w:r>
          </w:p>
        </w:tc>
        <w:tc>
          <w:tcPr/>
          <w:p>
            <w:pPr>
              <w:pStyle w:val="Compact"/>
              <w:jc w:val="left"/>
            </w:pPr>
            <w:r>
              <w:t xml:space="preserve">Moderate: depends on whether the mechanism is cross-sectoral</w:t>
            </w:r>
          </w:p>
        </w:tc>
        <w:tc>
          <w:tcPr/>
          <w:p>
            <w:pPr>
              <w:pStyle w:val="Compact"/>
              <w:jc w:val="left"/>
            </w:pPr>
            <w:r>
              <w:t xml:space="preserve">If the mechanism is a generic BOI tool, H3 becomes E and the rating falls to Weak between H2 and H3</w:t>
            </w:r>
          </w:p>
        </w:tc>
      </w:tr>
      <w:tr>
        <w:tc>
          <w:tcPr/>
          <w:p>
            <w:pPr>
              <w:pStyle w:val="Compact"/>
              <w:jc w:val="left"/>
            </w:pPr>
            <w:r>
              <w:t xml:space="preserve">E4</w:t>
            </w:r>
          </w:p>
        </w:tc>
        <w:tc>
          <w:tcPr/>
          <w:p>
            <w:pPr>
              <w:pStyle w:val="Compact"/>
              <w:jc w:val="left"/>
            </w:pPr>
            <w:r>
              <w:t xml:space="preserve">Auditor-verified annual declaration at the lowest capital tier (Malaysia)</w:t>
            </w:r>
          </w:p>
        </w:tc>
        <w:tc>
          <w:tcPr/>
          <w:p>
            <w:pPr>
              <w:pStyle w:val="Compact"/>
              <w:jc w:val="left"/>
            </w:pPr>
            <w:r>
              <w:t xml:space="preserve">U (fixed cost is not required by the technology)</w:t>
            </w:r>
          </w:p>
        </w:tc>
        <w:tc>
          <w:tcPr/>
          <w:p>
            <w:pPr>
              <w:pStyle w:val="Compact"/>
              <w:jc w:val="left"/>
            </w:pPr>
            <w:r>
              <w:t xml:space="preserve">E</w:t>
            </w:r>
          </w:p>
        </w:tc>
        <w:tc>
          <w:tcPr/>
          <w:p>
            <w:pPr>
              <w:pStyle w:val="Compact"/>
              <w:jc w:val="left"/>
            </w:pPr>
            <w:r>
              <w:t xml:space="preserve">E (generic compliance practice)</w:t>
            </w:r>
          </w:p>
        </w:tc>
        <w:tc>
          <w:tcPr/>
          <w:p>
            <w:pPr>
              <w:pStyle w:val="Compact"/>
              <w:jc w:val="left"/>
            </w:pPr>
            <w:r>
              <w:t xml:space="preserve">Moderate against H1 only; does not separate H2 from H3</w:t>
            </w:r>
          </w:p>
        </w:tc>
        <w:tc>
          <w:tcPr/>
          <w:p>
            <w:pPr>
              <w:pStyle w:val="Compact"/>
              <w:jc w:val="left"/>
            </w:pPr>
            <w:r>
              <w:t xml:space="preserve">Verification of the source text</w:t>
            </w:r>
          </w:p>
        </w:tc>
      </w:tr>
      <w:tr>
        <w:tc>
          <w:tcPr/>
          <w:p>
            <w:pPr>
              <w:pStyle w:val="Compact"/>
              <w:jc w:val="left"/>
            </w:pPr>
            <w:r>
              <w:t xml:space="preserve">E5</w:t>
            </w:r>
          </w:p>
        </w:tc>
        <w:tc>
          <w:tcPr/>
          <w:p>
            <w:pPr>
              <w:pStyle w:val="Compact"/>
              <w:jc w:val="left"/>
            </w:pPr>
            <w:r>
              <w:t xml:space="preserve">Official criticism of data-centre incentives on employment grounds, then restructuring (Malaysia)</w:t>
            </w:r>
          </w:p>
        </w:tc>
        <w:tc>
          <w:tcPr/>
          <w:p>
            <w:pPr>
              <w:pStyle w:val="Compact"/>
              <w:jc w:val="left"/>
            </w:pPr>
            <w:r>
              <w:t xml:space="preserve">E (capital-intensive projects yield little employment per unit of capital)</w:t>
            </w:r>
          </w:p>
        </w:tc>
        <w:tc>
          <w:tcPr/>
          <w:p>
            <w:pPr>
              <w:pStyle w:val="Compact"/>
              <w:jc w:val="left"/>
            </w:pPr>
            <w:r>
              <w:t xml:space="preserve">C</w:t>
            </w:r>
          </w:p>
        </w:tc>
        <w:tc>
          <w:tcPr/>
          <w:p>
            <w:pPr>
              <w:pStyle w:val="Compact"/>
              <w:jc w:val="left"/>
            </w:pPr>
            <w:r>
              <w:t xml:space="preserve">C</w:t>
            </w:r>
          </w:p>
        </w:tc>
        <w:tc>
          <w:tcPr/>
          <w:p>
            <w:pPr>
              <w:pStyle w:val="Compact"/>
              <w:jc w:val="left"/>
            </w:pPr>
            <w:r>
              <w:t xml:space="preserve">Weak: shows that a problem was recognised, not its cause</w:t>
            </w:r>
          </w:p>
        </w:tc>
        <w:tc>
          <w:tcPr/>
          <w:p>
            <w:pPr>
              <w:pStyle w:val="Compact"/>
              <w:jc w:val="left"/>
            </w:pPr>
            <w:r>
              <w:t xml:space="preserve">Evidence that the criticism cited firm size or entry barriers</w:t>
            </w:r>
          </w:p>
        </w:tc>
      </w:tr>
      <w:tr>
        <w:tc>
          <w:tcPr/>
          <w:p>
            <w:pPr>
              <w:pStyle w:val="Compact"/>
              <w:jc w:val="left"/>
            </w:pPr>
            <w:r>
              <w:t xml:space="preserve">E6</w:t>
            </w:r>
          </w:p>
        </w:tc>
        <w:tc>
          <w:tcPr/>
          <w:p>
            <w:pPr>
              <w:pStyle w:val="Compact"/>
              <w:jc w:val="left"/>
            </w:pPr>
            <w:r>
              <w:t xml:space="preserve">Explicit startup track with direct equity access (Vietnam)</w:t>
            </w:r>
          </w:p>
        </w:tc>
        <w:tc>
          <w:tcPr/>
          <w:p>
            <w:pPr>
              <w:pStyle w:val="Compact"/>
              <w:jc w:val="left"/>
            </w:pPr>
            <w:r>
              <w:t xml:space="preserve">C</w:t>
            </w:r>
          </w:p>
        </w:tc>
        <w:tc>
          <w:tcPr/>
          <w:p>
            <w:pPr>
              <w:pStyle w:val="Compact"/>
              <w:jc w:val="left"/>
            </w:pPr>
            <w:r>
              <w:t xml:space="preserve">U</w:t>
            </w:r>
          </w:p>
        </w:tc>
        <w:tc>
          <w:tcPr/>
          <w:p>
            <w:pPr>
              <w:pStyle w:val="Compact"/>
              <w:jc w:val="left"/>
            </w:pPr>
            <w:r>
              <w:t xml:space="preserve">C</w:t>
            </w:r>
          </w:p>
        </w:tc>
        <w:tc>
          <w:tcPr/>
          <w:p>
            <w:pPr>
              <w:pStyle w:val="Compact"/>
              <w:jc w:val="left"/>
            </w:pPr>
            <w:r>
              <w:t xml:space="preserve">Moderate against H2 at the application layer in Vietnam; limited to eligibility, not realised access</w:t>
            </w:r>
          </w:p>
        </w:tc>
        <w:tc>
          <w:tcPr/>
          <w:p>
            <w:pPr>
              <w:pStyle w:val="Compact"/>
              <w:jc w:val="left"/>
            </w:pPr>
            <w:r>
              <w:t xml:space="preserve">Evidence on how many startups use the track</w:t>
            </w:r>
          </w:p>
        </w:tc>
      </w:tr>
      <w:tr>
        <w:tc>
          <w:tcPr/>
          <w:p>
            <w:pPr>
              <w:pStyle w:val="Compact"/>
              <w:jc w:val="left"/>
            </w:pPr>
            <w:r>
              <w:t xml:space="preserve">E7</w:t>
            </w:r>
          </w:p>
        </w:tc>
        <w:tc>
          <w:tcPr/>
          <w:p>
            <w:pPr>
              <w:pStyle w:val="Compact"/>
              <w:jc w:val="left"/>
            </w:pPr>
            <w:r>
              <w:t xml:space="preserve">Cloud platforms in the top priority tier alongside AI applications (Vietnam)</w:t>
            </w:r>
          </w:p>
        </w:tc>
        <w:tc>
          <w:tcPr/>
          <w:p>
            <w:pPr>
              <w:pStyle w:val="Compact"/>
              <w:jc w:val="left"/>
            </w:pPr>
            <w:r>
              <w:t xml:space="preserve">C</w:t>
            </w:r>
          </w:p>
        </w:tc>
        <w:tc>
          <w:tcPr/>
          <w:p>
            <w:pPr>
              <w:pStyle w:val="Compact"/>
              <w:jc w:val="left"/>
            </w:pPr>
            <w:r>
              <w:t xml:space="preserve">U at the compute layer</w:t>
            </w:r>
          </w:p>
        </w:tc>
        <w:tc>
          <w:tcPr/>
          <w:p>
            <w:pPr>
              <w:pStyle w:val="Compact"/>
              <w:jc w:val="left"/>
            </w:pPr>
            <w:r>
              <w:t xml:space="preserve">C</w:t>
            </w:r>
          </w:p>
        </w:tc>
        <w:tc>
          <w:tcPr/>
          <w:p>
            <w:pPr>
              <w:pStyle w:val="Compact"/>
              <w:jc w:val="left"/>
            </w:pPr>
            <w:r>
              <w:t xml:space="preserve">Weak to moderate: rests on one line item after recoding of edge cameras and digital twins</w:t>
            </w:r>
          </w:p>
        </w:tc>
        <w:tc>
          <w:tcPr/>
          <w:p>
            <w:pPr>
              <w:pStyle w:val="Compact"/>
              <w:jc w:val="left"/>
            </w:pPr>
            <w:r>
              <w:t xml:space="preserve">Recoding of Table S1 row 12; text of Decision 21/2026</w:t>
            </w:r>
          </w:p>
        </w:tc>
      </w:tr>
      <w:tr>
        <w:tc>
          <w:tcPr/>
          <w:p>
            <w:pPr>
              <w:pStyle w:val="Compact"/>
              <w:jc w:val="left"/>
            </w:pPr>
            <w:r>
              <w:t xml:space="preserve">E8</w:t>
            </w:r>
          </w:p>
        </w:tc>
        <w:tc>
          <w:tcPr/>
          <w:p>
            <w:pPr>
              <w:pStyle w:val="Compact"/>
              <w:jc w:val="left"/>
            </w:pPr>
            <w:r>
              <w:t xml:space="preserve">Firm-scale tiers applied uniformly across activity types (Philippines)</w:t>
            </w:r>
          </w:p>
        </w:tc>
        <w:tc>
          <w:tcPr/>
          <w:p>
            <w:pPr>
              <w:pStyle w:val="Compact"/>
              <w:jc w:val="left"/>
            </w:pPr>
            <w:r>
              <w:t xml:space="preserve">U (capital need differs by layer, the tiers do not)</w:t>
            </w:r>
          </w:p>
        </w:tc>
        <w:tc>
          <w:tcPr/>
          <w:p>
            <w:pPr>
              <w:pStyle w:val="Compact"/>
              <w:jc w:val="left"/>
            </w:pPr>
            <w:r>
              <w:t xml:space="preserve">C</w:t>
            </w:r>
          </w:p>
        </w:tc>
        <w:tc>
          <w:tcPr/>
          <w:p>
            <w:pPr>
              <w:pStyle w:val="Compact"/>
              <w:jc w:val="left"/>
            </w:pPr>
            <w:r>
              <w:t xml:space="preserve">E</w:t>
            </w:r>
          </w:p>
        </w:tc>
        <w:tc>
          <w:tcPr/>
          <w:p>
            <w:pPr>
              <w:pStyle w:val="Compact"/>
              <w:jc w:val="left"/>
            </w:pPr>
            <w:r>
              <w:t xml:space="preserve">Moderate for H3 over H1; does not separate H2 from H3</w:t>
            </w:r>
          </w:p>
        </w:tc>
        <w:tc>
          <w:tcPr/>
          <w:p>
            <w:pPr>
              <w:pStyle w:val="Compact"/>
              <w:jc w:val="left"/>
            </w:pPr>
            <w:r>
              <w:t xml:space="preserve">Pre-AI instruments showing the same tiers</w:t>
            </w:r>
          </w:p>
        </w:tc>
      </w:tr>
      <w:tr>
        <w:tc>
          <w:tcPr/>
          <w:p>
            <w:pPr>
              <w:pStyle w:val="Compact"/>
              <w:jc w:val="left"/>
            </w:pPr>
            <w:r>
              <w:t xml:space="preserve">E9</w:t>
            </w:r>
          </w:p>
        </w:tc>
        <w:tc>
          <w:tcPr/>
          <w:p>
            <w:pPr>
              <w:pStyle w:val="Compact"/>
              <w:jc w:val="left"/>
            </w:pPr>
            <w:r>
              <w:t xml:space="preserve">Thai-held share of capital falls with depth into the stack (46, 15, 0 per cent; Thailand)</w:t>
            </w:r>
          </w:p>
        </w:tc>
        <w:tc>
          <w:tcPr/>
          <w:p>
            <w:pPr>
              <w:pStyle w:val="Compact"/>
              <w:jc w:val="left"/>
            </w:pPr>
            <w:r>
              <w:t xml:space="preserve">E (capital-intensive layers attract deep capital)</w:t>
            </w:r>
          </w:p>
        </w:tc>
        <w:tc>
          <w:tcPr/>
          <w:p>
            <w:pPr>
              <w:pStyle w:val="Compact"/>
              <w:jc w:val="left"/>
            </w:pPr>
            <w:r>
              <w:t xml:space="preserve">C</w:t>
            </w:r>
          </w:p>
        </w:tc>
        <w:tc>
          <w:tcPr/>
          <w:p>
            <w:pPr>
              <w:pStyle w:val="Compact"/>
              <w:jc w:val="left"/>
            </w:pPr>
            <w:r>
              <w:t xml:space="preserve">C</w:t>
            </w:r>
          </w:p>
        </w:tc>
        <w:tc>
          <w:tcPr/>
          <w:p>
            <w:pPr>
              <w:pStyle w:val="Compact"/>
              <w:jc w:val="left"/>
            </w:pPr>
            <w:r>
              <w:t xml:space="preserve">Weak: descriptive; does not discriminate</w:t>
            </w:r>
          </w:p>
        </w:tc>
        <w:tc>
          <w:tcPr/>
          <w:p>
            <w:pPr>
              <w:pStyle w:val="Compact"/>
              <w:jc w:val="left"/>
            </w:pPr>
            <w:r>
              <w:t xml:space="preserve">Project-level data and evidence on excluded domestic applicants</w:t>
            </w:r>
          </w:p>
        </w:tc>
      </w:tr>
    </w:tbl>
    <w:p>
      <w:pPr>
        <w:pStyle w:val="BodyText"/>
      </w:pPr>
      <w:r>
        <w:rPr>
          <w:iCs/>
          <w:i/>
        </w:rPr>
        <w:t xml:space="preserve">Note.</w:t>
      </w:r>
      <w:r>
        <w:t xml:space="preserve"> </w:t>
      </w:r>
      <w:r>
        <w:t xml:space="preserve">E = expected; C = compatible; U = unexpected; X = contradicted. The rubric is in Table 1. Ratings of rows that depend on unverified coding are provisional until the verification and reliability checks are complete.</w:t>
      </w:r>
    </w:p>
    <w:p>
      <w:pPr>
        <w:pStyle w:val="BodyText"/>
      </w:pPr>
      <w:r>
        <w:t xml:space="preserve">Three results follow. First, H1 (cost necessity) is well supported for the height of the infrastructure thresholds (E1) and for the ownership pattern (E9), and the data cannot distinguish a design reading from it on those points. Second, H1 is weakened by E2, E3, E4 and E8, which it can accommodate only through auxiliary assumptions. Third, H2 and H3 are difficult to separate: E2, E3 and E4 are expected under both, and only E8 favours H3 over H2 in a clear way. This paper therefore supports a claim that the pattern is</w:t>
      </w:r>
      <w:r>
        <w:t xml:space="preserve"> </w:t>
      </w:r>
      <w:r>
        <w:rPr>
          <w:iCs/>
          <w:i/>
        </w:rPr>
        <w:t xml:space="preserve">not only</w:t>
      </w:r>
      <w:r>
        <w:t xml:space="preserve"> </w:t>
      </w:r>
      <w:r>
        <w:t xml:space="preserve">cost-driven and is consistent with design or habit, but it does not isolate the origin.</w:t>
      </w:r>
    </w:p>
    <w:p>
      <w:pPr>
        <w:pStyle w:val="BodyText"/>
      </w:pPr>
      <w:r>
        <w:rPr>
          <w:bCs/>
          <w:b/>
        </w:rPr>
        <w:t xml:space="preserve">Sensitivity.</w:t>
      </w:r>
      <w:r>
        <w:t xml:space="preserve"> </w:t>
      </w:r>
      <w:r>
        <w:t xml:space="preserve">Dropping E2 leaves the case against H1 resting on E3, E4 and E8, which are individually moderate and depend on the checks listed in Table 4. Dropping E3 and E4 together, which both depend on unverified rows, leaves E2 and E8. Dropping E2 and E3 and E4 together leaves no moderate evidence against H1 beyond E8. The main conclusion therefore depends chiefly on E2, and we regard it as provisional until the search protocol and the general-instrument coding are complete. Reversing the rating of E5 does not change any conclusion, because that row is already weak.</w:t>
      </w:r>
    </w:p>
    <w:p>
      <w:pPr>
        <w:pStyle w:val="BodyText"/>
      </w:pPr>
      <w:r>
        <w:rPr>
          <w:bCs/>
          <w:b/>
        </w:rPr>
        <w:t xml:space="preserve">Falsification.</w:t>
      </w:r>
      <w:r>
        <w:t xml:space="preserve"> </w:t>
      </w:r>
      <w:r>
        <w:t xml:space="preserve">The claim that sub-facility compute is unaddressed would be falsified by finding, in any country, a general-purpose or AI-specific instrument that a colocation operator or compute reseller could use on the same terms as a software firm. The claim that H1 is insufficient would be falsified by showing that the smallest commercially viable AI compute provider is above the facility threshold in each country.</w:t>
      </w:r>
    </w:p>
    <w:p>
      <w:pPr>
        <w:pStyle w:val="BodyText"/>
      </w:pPr>
      <w:r>
        <w:rPr>
          <w:bCs/>
          <w:b/>
        </w:rPr>
        <w:t xml:space="preserve">Competing interpretation.</w:t>
      </w:r>
      <w:r>
        <w:t xml:space="preserve"> </w:t>
      </w:r>
      <w:r>
        <w:t xml:space="preserve">A reading that this paper cannot rule out is that no middle-income economy can compete with hyperscale providers at frontier scale, and that concentrating domestic effort on applications while accepting infrastructure dependence is sound specialisation. The evidence that would separate the readings is (a) whether domestic sub-facility compute providers exist, grow and serve domestic AI firms without incentives, (b) the price and availability of compute for domestic AI firms, and (c) outcomes for domestic firms in the application layer. None of this is observed here. We therefore do not claim to adjudicate between a design gap and rational specialisation.</w:t>
      </w:r>
    </w:p>
    <w:bookmarkEnd w:id="41"/>
    <w:bookmarkStart w:id="42" w:name="relation-to-the-literature"/>
    <w:p>
      <w:pPr>
        <w:pStyle w:val="Heading3"/>
      </w:pPr>
      <w:r>
        <w:t xml:space="preserve">5.4 Relation to the literature</w:t>
      </w:r>
    </w:p>
    <w:p>
      <w:pPr>
        <w:pStyle w:val="FirstParagraph"/>
      </w:pPr>
      <w:r>
        <w:t xml:space="preserve">Bahar et al. (2026) show for Japan that incentives delivered through indirect tax credits favour large profitable firms. Our evidence for the same mechanism is limited to specific rules: Thailand’s deepest research tier (E3), Malaysia’s fixed compliance cost (E4), and the fact that three of four countries deliver the accessible tier by indirect instruments (Table 3). The comparison with Japan and the European Union should be drawn carefully. Their problem is misallocation among sectors for established firms, whereas ours is entry to a new technology stack, and the evidence for it is rules, not spending shares. The lesson we draw from Fuest et al. (2024) and Bahar et al. (2026) is about method: to look at instrument design, not aggregate spending. Doner and Schneider (2016) treat firm size as a cleavage that works through political weakness. We find that size can also be written into instruments, through thresholds and tiers, independently of the coalitions that form around them, but we do not observe coalitions. For the AI literature, our finding is relevant to the access scenarios of Cerutti et al. (2025): the macro outcome in those models depends on whether domestic firms can provide compute, and the rules we code show where that entry is and is not open. They do not show what firms do with it.</w:t>
      </w:r>
    </w:p>
    <w:bookmarkEnd w:id="42"/>
    <w:bookmarkEnd w:id="43"/>
    <w:bookmarkStart w:id="44" w:name="policy-implications"/>
    <w:p>
      <w:pPr>
        <w:pStyle w:val="Heading2"/>
      </w:pPr>
      <w:r>
        <w:t xml:space="preserve">6. Policy implications</w:t>
      </w:r>
    </w:p>
    <w:p>
      <w:pPr>
        <w:pStyle w:val="FirstParagraph"/>
      </w:pPr>
      <w:r>
        <w:t xml:space="preserve">Each implication follows from a specific finding and carries a condition and a risk.</w:t>
      </w:r>
    </w:p>
    <w:p>
      <w:pPr>
        <w:pStyle w:val="BodyText"/>
      </w:pPr>
      <w:r>
        <w:rPr>
          <w:bCs/>
          <w:b/>
        </w:rPr>
        <w:t xml:space="preserve">First, close the sub-facility gap on a pilot basis.</w:t>
      </w:r>
      <w:r>
        <w:t xml:space="preserve"> </w:t>
      </w:r>
      <w:r>
        <w:t xml:space="preserve">Finding: no country has an AI-related instrument below facility scale (E2). Options are extending eligibility to colocation tenancy, modular deployment or shared-capacity arrangements, or providing subsidised access to public or consortium compute. Vietnam’s startup track offers a template for the design principle: a parallel, more accessible pathway alongside the demanding thresholds, not a lowering of them. Its transfer depends on administrative capacity to screen eligible firms by technical or commercialisation criteria, not by capital. Risks: subsidising resale of foreign-owned capacity, and fiscal leakage if eligibility is loose. We have not costed any option, so we do not claim that the gap can be closed at modest fiscal cost. A small, time-limited pilot with defined eligibility would allow cost and take-up to be observed before scaling.</w:t>
      </w:r>
    </w:p>
    <w:p>
      <w:pPr>
        <w:pStyle w:val="BodyText"/>
      </w:pPr>
      <w:r>
        <w:rPr>
          <w:bCs/>
          <w:b/>
        </w:rPr>
        <w:t xml:space="preserve">Second, review instruments whose design presupposes profit or scale in layers that do not need it.</w:t>
      </w:r>
      <w:r>
        <w:t xml:space="preserve"> </w:t>
      </w:r>
      <w:r>
        <w:t xml:space="preserve">Findings: Thailand’s research tier (E3) and Malaysia’s auditor-verified declaration (E4). This follows Bahar et al. (2026), who recommend moving from indirect tax-based support towards instruments that do not presuppose profitability or scale. For Malaysia a lower-cost alternative could be risk-based sampling or a declaration verified in proportion to firm size. The political economy matters here: indirect instruments are administratively simple and fiscally less visible, so replacing them requires a delivery agency with capacity for direct support.</w:t>
      </w:r>
    </w:p>
    <w:p>
      <w:pPr>
        <w:pStyle w:val="BodyText"/>
      </w:pPr>
      <w:r>
        <w:rPr>
          <w:bCs/>
          <w:b/>
        </w:rPr>
        <w:t xml:space="preserve">Third, make infrastructure dependence an explicit choice.</w:t>
      </w:r>
      <w:r>
        <w:t xml:space="preserve"> </w:t>
      </w:r>
      <w:r>
        <w:t xml:space="preserve">If dependence on foreign providers at the infrastructure layer is an acceptable strategic trade-off, it should be stated as a choice, with attention to data-sovereignty implications, not left as a by-product of where thresholds fall. Because we cannot separate this from rational specialisation (Section 5.3), the recommendation is to collect the evidence that would decide it, namely domestic compute price and availability and the growth of small providers, before changing thresholds.</w:t>
      </w:r>
    </w:p>
    <w:bookmarkEnd w:id="44"/>
    <w:bookmarkStart w:id="45" w:name="limitations"/>
    <w:p>
      <w:pPr>
        <w:pStyle w:val="Heading2"/>
      </w:pPr>
      <w:r>
        <w:t xml:space="preserve">7. Limitations</w:t>
      </w:r>
    </w:p>
    <w:p>
      <w:pPr>
        <w:pStyle w:val="FirstParagraph"/>
      </w:pPr>
      <w:r>
        <w:t xml:space="preserve">We list the limitations in order of their effect on validity.</w:t>
      </w:r>
    </w:p>
    <w:p>
      <w:pPr>
        <w:numPr>
          <w:ilvl w:val="0"/>
          <w:numId w:val="1004"/>
        </w:numPr>
        <w:pStyle w:val="Compact"/>
      </w:pPr>
      <w:r>
        <w:rPr>
          <w:bCs/>
          <w:b/>
        </w:rPr>
        <w:t xml:space="preserve">Legal eligibility is not realised access.</w:t>
      </w:r>
      <w:r>
        <w:t xml:space="preserve"> </w:t>
      </w:r>
      <w:r>
        <w:t xml:space="preserve">We code rules as written. Firms may be unable to use an eligible instrument because of application costs or screening practice, and may receive support through general schemes the coding does not yet cover (Section 3.3). Our findings describe the opportunity structure, not who benefits. Linking rules to firm-level take-up, using venture-capital deal flow, patent data by applicant type and approval data by firm size, is the natural next step.</w:t>
      </w:r>
    </w:p>
    <w:p>
      <w:pPr>
        <w:numPr>
          <w:ilvl w:val="0"/>
          <w:numId w:val="1004"/>
        </w:numPr>
        <w:pStyle w:val="Compact"/>
      </w:pPr>
      <w:r>
        <w:rPr>
          <w:bCs/>
          <w:b/>
        </w:rPr>
        <w:t xml:space="preserve">Coding reliability, verification and the currency check are pending.</w:t>
      </w:r>
      <w:r>
        <w:t xml:space="preserve"> </w:t>
      </w:r>
      <w:r>
        <w:t xml:space="preserve">The coding has not been checked by a second coder, some rows have not been re-verified against the primary text, and the check for amendments and superseding instruments (Section 3.2) is not complete.</w:t>
      </w:r>
      <w:r>
        <w:t xml:space="preserve"> </w:t>
      </w:r>
      <w:r>
        <w:rPr>
          <w:bCs/>
          <w:b/>
        </w:rPr>
        <w:t xml:space="preserve">[PENDING: replace with results.]</w:t>
      </w:r>
      <w:r>
        <w:t xml:space="preserve"> </w:t>
      </w:r>
      <w:r>
        <w:t xml:space="preserve">Until then, every finding that depends on a threshold or a classification should be read as provisional.</w:t>
      </w:r>
    </w:p>
    <w:p>
      <w:pPr>
        <w:numPr>
          <w:ilvl w:val="0"/>
          <w:numId w:val="1004"/>
        </w:numPr>
        <w:pStyle w:val="Compact"/>
      </w:pPr>
      <w:r>
        <w:rPr>
          <w:bCs/>
          <w:b/>
        </w:rPr>
        <w:t xml:space="preserve">The central claim is an absence.</w:t>
      </w:r>
      <w:r>
        <w:t xml:space="preserve"> </w:t>
      </w:r>
      <w:r>
        <w:t xml:space="preserve">Absence claims depend on the completeness of the search. Section 3.3 sets out the protocol that is still to be completed, and the sensitivity analysis shows that the main conclusion depends on this evidence (Section 5.3).</w:t>
      </w:r>
    </w:p>
    <w:p>
      <w:pPr>
        <w:numPr>
          <w:ilvl w:val="0"/>
          <w:numId w:val="1004"/>
        </w:numPr>
        <w:pStyle w:val="Compact"/>
      </w:pPr>
      <w:r>
        <w:rPr>
          <w:bCs/>
          <w:b/>
        </w:rPr>
        <w:t xml:space="preserve">Uneven evidence.</w:t>
      </w:r>
      <w:r>
        <w:t xml:space="preserve"> </w:t>
      </w:r>
      <w:r>
        <w:t xml:space="preserve">Only Thailand publishes approval data by sub-activity and ownership. The ownership gradient rests on three points, one of them a single project, and does not generalise to the other countries.</w:t>
      </w:r>
    </w:p>
    <w:p>
      <w:pPr>
        <w:numPr>
          <w:ilvl w:val="0"/>
          <w:numId w:val="1004"/>
        </w:numPr>
        <w:pStyle w:val="Compact"/>
      </w:pPr>
      <w:r>
        <w:rPr>
          <w:bCs/>
          <w:b/>
        </w:rPr>
        <w:t xml:space="preserve">Four cases.</w:t>
      </w:r>
      <w:r>
        <w:t xml:space="preserve"> </w:t>
      </w:r>
      <w:r>
        <w:t xml:space="preserve">The countries are purposively selected (Section 3.1). The findings describe these four systems and do not support statistical claims about Southeast Asia or other economies. They may extend to economies that use threshold-based investment promotion and are less likely to extend to economies with a different incentive architecture. The reasons for excluding Indonesia, a member of the ASEAN Four in Ke (2024), must be stated</w:t>
      </w:r>
      <w:r>
        <w:t xml:space="preserve"> </w:t>
      </w:r>
      <w:r>
        <w:rPr>
          <w:bCs/>
          <w:b/>
        </w:rPr>
        <w:t xml:space="preserve">[PENDING]</w:t>
      </w:r>
      <w:r>
        <w:t xml:space="preserve">. The trap classifications used to choose cases are not findings of this paper.</w:t>
      </w:r>
    </w:p>
    <w:p>
      <w:pPr>
        <w:numPr>
          <w:ilvl w:val="0"/>
          <w:numId w:val="1004"/>
        </w:numPr>
        <w:pStyle w:val="Compact"/>
      </w:pPr>
      <w:r>
        <w:rPr>
          <w:bCs/>
          <w:b/>
        </w:rPr>
        <w:t xml:space="preserve">No causal identification.</w:t>
      </w:r>
      <w:r>
        <w:t xml:space="preserve"> </w:t>
      </w:r>
      <w:r>
        <w:t xml:space="preserve">We assess explanations by process-tracing logic with ordinal ratings, and cannot separate H2 from H3 with legal texts alone.</w:t>
      </w:r>
    </w:p>
    <w:p>
      <w:pPr>
        <w:numPr>
          <w:ilvl w:val="0"/>
          <w:numId w:val="1004"/>
        </w:numPr>
        <w:pStyle w:val="Compact"/>
      </w:pPr>
      <w:r>
        <w:rPr>
          <w:bCs/>
          <w:b/>
        </w:rPr>
        <w:t xml:space="preserve">A moving target.</w:t>
      </w:r>
      <w:r>
        <w:t xml:space="preserve"> </w:t>
      </w:r>
      <w:r>
        <w:t xml:space="preserve">Vietnam’s AI-specific regulatory layer is still developing following the 2025 AI law (Vietnam, 2025). Findings for Vietnam describe a general incentive system that is operational and an AI-specific layer that is still evolving.</w:t>
      </w:r>
    </w:p>
    <w:bookmarkEnd w:id="45"/>
    <w:bookmarkStart w:id="46" w:name="conclusion"/>
    <w:p>
      <w:pPr>
        <w:pStyle w:val="Heading2"/>
      </w:pPr>
      <w:r>
        <w:t xml:space="preserve">8. Conclusion</w:t>
      </w:r>
    </w:p>
    <w:p>
      <w:pPr>
        <w:pStyle w:val="FirstParagraph"/>
      </w:pPr>
      <w:r>
        <w:t xml:space="preserve">This paper asked who can enter the AI industry in four Southeast Asian economies under the incentive rules their governments have written. All four make application development accessible, and Vietnam adds a startup track with direct equity access. Above that layer the boundary falls in different places: at data-centre capacity in Thailand and Malaysia, at hardware manufacture in Vietnam, and by firm scale alone in the Philippines. What is common to all four is an absence. We found no AI-related instrument for compute provision below facility scale, and published cost benchmarks show that capital intensity alone does not account for it.</w:t>
      </w:r>
    </w:p>
    <w:p>
      <w:pPr>
        <w:pStyle w:val="BodyText"/>
      </w:pPr>
      <w:r>
        <w:t xml:space="preserve">The claims are limited by the evidence. We observe eligibility rules, not realised access or outcomes. The central absence is provisional until the search protocol and the coding of general-purpose instruments are complete, and the coding awaits an independent check. The data do not distinguish a design gap from rational specialisation, and they do not show that a middle-technology trap exists. They identify a design feature that could contribute to such a trap, an opportunity structure in which domestic firms can enter applications but have no stated route into compute supply below facility scale.</w:t>
      </w:r>
    </w:p>
    <w:p>
      <w:pPr>
        <w:pStyle w:val="BodyText"/>
      </w:pPr>
      <w:r>
        <w:t xml:space="preserve">The contribution is a primary-source map of how four governments have built their AI incentive systems, a four-layer, three-dimension coding framework that other countries and technologies can reuse, and an evidence matrix that shows which observations discriminate between explanations and which do not. The next step is to test the opportunity structure against firm behaviour: whether small compute providers exist, how domestic AI firms obtain compute, and whether the rules described here shape either.</w:t>
      </w:r>
    </w:p>
    <w:bookmarkEnd w:id="46"/>
    <w:bookmarkStart w:id="47" w:name="appendix-a.-coding-rules"/>
    <w:p>
      <w:pPr>
        <w:pStyle w:val="Heading2"/>
      </w:pPr>
      <w:r>
        <w:t xml:space="preserve">Appendix A. Coding rules</w:t>
      </w:r>
    </w:p>
    <w:p>
      <w:pPr>
        <w:pStyle w:val="FirstParagraph"/>
      </w:pPr>
      <w:r>
        <w:t xml:space="preserve">Stack layer.</w:t>
      </w:r>
      <w:r>
        <w:t xml:space="preserve"> </w:t>
      </w:r>
      <w:r>
        <w:rPr>
          <w:iCs/>
          <w:i/>
        </w:rPr>
        <w:t xml:space="preserve">Applications and models</w:t>
      </w:r>
      <w:r>
        <w:t xml:space="preserve"> </w:t>
      </w:r>
      <w:r>
        <w:t xml:space="preserve">if the instrument governs software, models or AI systems as end products.</w:t>
      </w:r>
      <w:r>
        <w:t xml:space="preserve"> </w:t>
      </w:r>
      <w:r>
        <w:rPr>
          <w:iCs/>
          <w:i/>
        </w:rPr>
        <w:t xml:space="preserve">Cloud and compute services</w:t>
      </w:r>
      <w:r>
        <w:t xml:space="preserve"> </w:t>
      </w:r>
      <w:r>
        <w:t xml:space="preserve">if it governs the provision of computing capacity as a service, whether from owned or leased facilities.</w:t>
      </w:r>
      <w:r>
        <w:t xml:space="preserve"> </w:t>
      </w:r>
      <w:r>
        <w:rPr>
          <w:iCs/>
          <w:i/>
        </w:rPr>
        <w:t xml:space="preserve">Physical data-centre capacity</w:t>
      </w:r>
      <w:r>
        <w:t xml:space="preserve"> </w:t>
      </w:r>
      <w:r>
        <w:t xml:space="preserve">if it governs construction or operation of physical facilities.</w:t>
      </w:r>
      <w:r>
        <w:t xml:space="preserve"> </w:t>
      </w:r>
      <w:r>
        <w:rPr>
          <w:iCs/>
          <w:i/>
        </w:rPr>
        <w:t xml:space="preserve">Hardware manufacture</w:t>
      </w:r>
      <w:r>
        <w:t xml:space="preserve"> </w:t>
      </w:r>
      <w:r>
        <w:t xml:space="preserve">if it governs semiconductor or chip design or fabrication.</w:t>
      </w:r>
      <w:r>
        <w:t xml:space="preserve"> </w:t>
      </w:r>
      <w:r>
        <w:rPr>
          <w:iCs/>
          <w:i/>
        </w:rPr>
        <w:t xml:space="preserve">Cross-cutting</w:t>
      </w:r>
      <w:r>
        <w:t xml:space="preserve"> </w:t>
      </w:r>
      <w:r>
        <w:t xml:space="preserve">if it applies across activity types without targeting a layer.</w:t>
      </w:r>
    </w:p>
    <w:p>
      <w:pPr>
        <w:pStyle w:val="BodyText"/>
      </w:pPr>
      <w:r>
        <w:t xml:space="preserve">Delivery mechanism.</w:t>
      </w:r>
      <w:r>
        <w:t xml:space="preserve"> </w:t>
      </w:r>
      <w:r>
        <w:rPr>
          <w:iCs/>
          <w:i/>
        </w:rPr>
        <w:t xml:space="preserve">Indirect</w:t>
      </w:r>
      <w:r>
        <w:t xml:space="preserve"> </w:t>
      </w:r>
      <w:r>
        <w:t xml:space="preserve">for tax-based instruments (exemptions, holidays, deductions) that presuppose taxable profit or investment expenditure.</w:t>
      </w:r>
      <w:r>
        <w:t xml:space="preserve"> </w:t>
      </w:r>
      <w:r>
        <w:rPr>
          <w:iCs/>
          <w:i/>
        </w:rPr>
        <w:t xml:space="preserve">Direct</w:t>
      </w:r>
      <w:r>
        <w:t xml:space="preserve"> </w:t>
      </w:r>
      <w:r>
        <w:t xml:space="preserve">for grants, equity investment or fee waivers that do not presuppose profitability. Combined schemes are coded as separate rows.</w:t>
      </w:r>
    </w:p>
    <w:p>
      <w:pPr>
        <w:pStyle w:val="BodyText"/>
      </w:pPr>
      <w:r>
        <w:t xml:space="preserve">Formal threshold. Report the eligibility rule as stated in the source, in local currency with a dated conversion. Record</w:t>
      </w:r>
      <w:r>
        <w:t xml:space="preserve"> </w:t>
      </w:r>
      <w:r>
        <w:t xml:space="preserve">“</w:t>
      </w:r>
      <w:r>
        <w:t xml:space="preserve">none stated</w:t>
      </w:r>
      <w:r>
        <w:t xml:space="preserve">”</w:t>
      </w:r>
      <w:r>
        <w:t xml:space="preserve"> </w:t>
      </w:r>
      <w:r>
        <w:t xml:space="preserve">when the source states no threshold.</w:t>
      </w:r>
    </w:p>
    <w:p>
      <w:pPr>
        <w:pStyle w:val="BodyText"/>
      </w:pPr>
      <w:r>
        <w:t xml:space="preserve">New-firm accommodation.</w:t>
      </w:r>
      <w:r>
        <w:t xml:space="preserve"> </w:t>
      </w:r>
      <w:r>
        <w:rPr>
          <w:iCs/>
          <w:i/>
        </w:rPr>
        <w:t xml:space="preserve">Yes</w:t>
      </w:r>
      <w:r>
        <w:t xml:space="preserve"> </w:t>
      </w:r>
      <w:r>
        <w:t xml:space="preserve">only where the source contains an explicit provision easing eligibility for smaller or newer firms.</w:t>
      </w:r>
      <w:r>
        <w:t xml:space="preserve"> </w:t>
      </w:r>
      <w:r>
        <w:rPr>
          <w:iCs/>
          <w:i/>
        </w:rPr>
        <w:t xml:space="preserve">No</w:t>
      </w:r>
      <w:r>
        <w:t xml:space="preserve"> </w:t>
      </w:r>
      <w:r>
        <w:t xml:space="preserve">where none exists, even if the general threshold is numerically low. Proportional requirements are coded</w:t>
      </w:r>
      <w:r>
        <w:t xml:space="preserve"> </w:t>
      </w:r>
      <w:r>
        <w:t xml:space="preserve">“</w:t>
      </w:r>
      <w:r>
        <w:t xml:space="preserve">not scale-based</w:t>
      </w:r>
      <w:r>
        <w:t xml:space="preserve">”</w:t>
      </w:r>
      <w:r>
        <w:t xml:space="preserve">.</w:t>
      </w:r>
    </w:p>
    <w:p>
      <w:pPr>
        <w:pStyle w:val="BodyText"/>
      </w:pPr>
      <w:r>
        <w:t xml:space="preserve">Compliance burden. Any recurring (annual or ongoing) obligation attached to continued eligibility, distinct from one-off application requirements. Fixed-cost obligations are noted explicitly.</w:t>
      </w:r>
    </w:p>
    <w:bookmarkEnd w:id="47"/>
    <w:bookmarkStart w:id="48" w:name="references"/>
    <w:p>
      <w:pPr>
        <w:pStyle w:val="Heading2"/>
      </w:pPr>
      <w:r>
        <w:t xml:space="preserve">References</w:t>
      </w:r>
    </w:p>
    <w:p>
      <w:pPr>
        <w:pStyle w:val="FirstParagraph"/>
      </w:pPr>
      <w:r>
        <w:t xml:space="preserve">Abdurohman, &amp; Huang, X. (2026, January 28).</w:t>
      </w:r>
      <w:r>
        <w:t xml:space="preserve"> </w:t>
      </w:r>
      <w:r>
        <w:rPr>
          <w:iCs/>
          <w:i/>
        </w:rPr>
        <w:t xml:space="preserve">Can ASEAN+3 economies still escape the middle-income trap in the AI era?</w:t>
      </w:r>
      <w:r>
        <w:t xml:space="preserve"> </w:t>
      </w:r>
      <w:r>
        <w:t xml:space="preserve">ASEAN+3 Macroeconomic Research Office. https://amro-asia.org</w:t>
      </w:r>
    </w:p>
    <w:p>
      <w:pPr>
        <w:pStyle w:val="BodyText"/>
      </w:pPr>
      <w:r>
        <w:t xml:space="preserve">Alonso, C., Berg, A., Kothari, S., Papageorgiou, C., &amp; Rehman, S. (2020).</w:t>
      </w:r>
      <w:r>
        <w:t xml:space="preserve"> </w:t>
      </w:r>
      <w:r>
        <w:rPr>
          <w:iCs/>
          <w:i/>
        </w:rPr>
        <w:t xml:space="preserve">Will the AI revolution cause a great divergence?</w:t>
      </w:r>
      <w:r>
        <w:t xml:space="preserve"> </w:t>
      </w:r>
      <w:r>
        <w:t xml:space="preserve">(IMF Working Paper No. 20/184). International Monetary Fund. https://doi.org/10.5089/9781513556505.001</w:t>
      </w:r>
    </w:p>
    <w:p>
      <w:pPr>
        <w:pStyle w:val="BodyText"/>
      </w:pPr>
      <w:r>
        <w:t xml:space="preserve">Ang, A. (2026, July 3). The World Bank has elevated Vietnam and the Philippines to upper-middle-income status, but now they face</w:t>
      </w:r>
      <w:r>
        <w:t xml:space="preserve"> </w:t>
      </w:r>
      <w:r>
        <w:t xml:space="preserve">“</w:t>
      </w:r>
      <w:r>
        <w:t xml:space="preserve">a far more demanding phase of development.</w:t>
      </w:r>
      <w:r>
        <w:t xml:space="preserve">”</w:t>
      </w:r>
      <w:r>
        <w:t xml:space="preserve"> </w:t>
      </w:r>
      <w:r>
        <w:rPr>
          <w:iCs/>
          <w:i/>
        </w:rPr>
        <w:t xml:space="preserve">Fortune</w:t>
      </w:r>
      <w:r>
        <w:t xml:space="preserve">. https://fortune.com</w:t>
      </w:r>
    </w:p>
    <w:p>
      <w:pPr>
        <w:pStyle w:val="BodyText"/>
      </w:pPr>
      <w:r>
        <w:t xml:space="preserve">Bahar, D., Gadgin Matha, S., Hausmann, R., &amp; Segovia, S. (2026).</w:t>
      </w:r>
      <w:r>
        <w:t xml:space="preserve"> </w:t>
      </w:r>
      <w:r>
        <w:rPr>
          <w:iCs/>
          <w:i/>
        </w:rPr>
        <w:t xml:space="preserve">Japan’s innovation challenge: Escaping the middle-technology trap</w:t>
      </w:r>
      <w:r>
        <w:t xml:space="preserve"> </w:t>
      </w:r>
      <w:r>
        <w:t xml:space="preserve">(Growth Lab Working Paper No. 269). Harvard University.</w:t>
      </w:r>
    </w:p>
    <w:p>
      <w:pPr>
        <w:pStyle w:val="BodyText"/>
      </w:pPr>
      <w:r>
        <w:t xml:space="preserve">Bianchi, C., Isabella, F., Martinis, A., &amp; Picasso, S. (2024). Varieties of middle-income trap: Heterogeneous trajectories and common determinants.</w:t>
      </w:r>
      <w:r>
        <w:t xml:space="preserve"> </w:t>
      </w:r>
      <w:r>
        <w:rPr>
          <w:iCs/>
          <w:i/>
        </w:rPr>
        <w:t xml:space="preserve">Structural Change and Economic Dynamics, 71</w:t>
      </w:r>
      <w:r>
        <w:t xml:space="preserve">, 320-336. https://doi.org/10.1016/j.strueco.2024.08.008</w:t>
      </w:r>
    </w:p>
    <w:p>
      <w:pPr>
        <w:pStyle w:val="BodyText"/>
      </w:pPr>
      <w:r>
        <w:t xml:space="preserve">Board of Investment of Thailand. (2022).</w:t>
      </w:r>
      <w:r>
        <w:t xml:space="preserve"> </w:t>
      </w:r>
      <w:r>
        <w:rPr>
          <w:iCs/>
          <w:i/>
        </w:rPr>
        <w:t xml:space="preserve">Announcements No. 8/2565, 9/2565 and 10/2565 on investment promotion measures</w:t>
      </w:r>
      <w:r>
        <w:t xml:space="preserve">. Office of the Board of Investment.</w:t>
      </w:r>
    </w:p>
    <w:p>
      <w:pPr>
        <w:pStyle w:val="BodyText"/>
      </w:pPr>
      <w:r>
        <w:t xml:space="preserve">Board of Investment of Thailand. (2025).</w:t>
      </w:r>
      <w:r>
        <w:t xml:space="preserve"> </w:t>
      </w:r>
      <w:r>
        <w:rPr>
          <w:iCs/>
          <w:i/>
        </w:rPr>
        <w:t xml:space="preserve">A guide to investment promotion 2025</w:t>
      </w:r>
      <w:r>
        <w:t xml:space="preserve">. Office of the Board of Investment.</w:t>
      </w:r>
    </w:p>
    <w:p>
      <w:pPr>
        <w:pStyle w:val="BodyText"/>
      </w:pPr>
      <w:r>
        <w:t xml:space="preserve">Board of Investment of Thailand. (2026).</w:t>
      </w:r>
      <w:r>
        <w:t xml:space="preserve"> </w:t>
      </w:r>
      <w:r>
        <w:rPr>
          <w:iCs/>
          <w:i/>
        </w:rPr>
        <w:t xml:space="preserve">Investment promotion statistics: Approvals by sub-activity, January to December 2025</w:t>
      </w:r>
      <w:r>
        <w:t xml:space="preserve">. Investment Services Center.</w:t>
      </w:r>
    </w:p>
    <w:p>
      <w:pPr>
        <w:pStyle w:val="BodyText"/>
      </w:pPr>
      <w:r>
        <w:t xml:space="preserve">Cerutti, E., Garcia Pascual, A. I., Kido, Y., Li, L., Melina, G., Mendes Tavares, M., &amp; Wingender, P. (2025).</w:t>
      </w:r>
      <w:r>
        <w:t xml:space="preserve"> </w:t>
      </w:r>
      <w:r>
        <w:rPr>
          <w:iCs/>
          <w:i/>
        </w:rPr>
        <w:t xml:space="preserve">The global impact of AI: Mind the gap</w:t>
      </w:r>
      <w:r>
        <w:t xml:space="preserve"> </w:t>
      </w:r>
      <w:r>
        <w:t xml:space="preserve">(IMF Working Paper No. 25/76). International Monetary Fund. https://doi.org/10.5089/9798229008570.001</w:t>
      </w:r>
    </w:p>
    <w:p>
      <w:pPr>
        <w:pStyle w:val="BodyText"/>
      </w:pPr>
      <w:r>
        <w:t xml:space="preserve">Cohen, J. (1960). A coefficient of agreement for nominal scales.</w:t>
      </w:r>
      <w:r>
        <w:t xml:space="preserve"> </w:t>
      </w:r>
      <w:r>
        <w:rPr>
          <w:iCs/>
          <w:i/>
        </w:rPr>
        <w:t xml:space="preserve">Educational and Psychological Measurement, 20</w:t>
      </w:r>
      <w:r>
        <w:t xml:space="preserve">(1), 37-46.</w:t>
      </w:r>
    </w:p>
    <w:p>
      <w:pPr>
        <w:pStyle w:val="BodyText"/>
      </w:pPr>
      <w:r>
        <w:t xml:space="preserve">Collier, D. (2011). Understanding process tracing.</w:t>
      </w:r>
      <w:r>
        <w:t xml:space="preserve"> </w:t>
      </w:r>
      <w:r>
        <w:rPr>
          <w:iCs/>
          <w:i/>
        </w:rPr>
        <w:t xml:space="preserve">PS: Political Science &amp; Politics, 44</w:t>
      </w:r>
      <w:r>
        <w:t xml:space="preserve">(4), 823-830.</w:t>
      </w:r>
    </w:p>
    <w:p>
      <w:pPr>
        <w:pStyle w:val="BodyText"/>
      </w:pPr>
      <w:r>
        <w:t xml:space="preserve">Cucio, M., &amp; Hennig, T. (2025).</w:t>
      </w:r>
      <w:r>
        <w:t xml:space="preserve"> </w:t>
      </w:r>
      <w:r>
        <w:rPr>
          <w:iCs/>
          <w:i/>
        </w:rPr>
        <w:t xml:space="preserve">Artificial intelligence and the Philippine labor market: Mapping occupational exposure and complementarity</w:t>
      </w:r>
      <w:r>
        <w:t xml:space="preserve"> </w:t>
      </w:r>
      <w:r>
        <w:t xml:space="preserve">(IMF Working Paper No. 25/43). International Monetary Fund. https://doi.org/10.5089/9798229001977.001</w:t>
      </w:r>
    </w:p>
    <w:p>
      <w:pPr>
        <w:pStyle w:val="BodyText"/>
      </w:pPr>
      <w:r>
        <w:t xml:space="preserve">Doner, R. F., &amp; Schneider, B. R. (2016). The middle-income trap: More politics than economics.</w:t>
      </w:r>
      <w:r>
        <w:t xml:space="preserve"> </w:t>
      </w:r>
      <w:r>
        <w:rPr>
          <w:iCs/>
          <w:i/>
        </w:rPr>
        <w:t xml:space="preserve">World Politics, 68</w:t>
      </w:r>
      <w:r>
        <w:t xml:space="preserve">(4), 608-644. https://doi.org/10.1017/S0043887116000095</w:t>
      </w:r>
    </w:p>
    <w:p>
      <w:pPr>
        <w:pStyle w:val="BodyText"/>
      </w:pPr>
      <w:r>
        <w:t xml:space="preserve">Eichengreen, B., Park, D., &amp; Shin, K. (2012). When fast-growing economies slow down: International evidence and implications for China.</w:t>
      </w:r>
      <w:r>
        <w:t xml:space="preserve"> </w:t>
      </w:r>
      <w:r>
        <w:rPr>
          <w:iCs/>
          <w:i/>
        </w:rPr>
        <w:t xml:space="preserve">Asian Economic Papers, 11</w:t>
      </w:r>
      <w:r>
        <w:t xml:space="preserve">(1), 42-87. https://doi.org/10.1162/ASEP_a_00118</w:t>
      </w:r>
    </w:p>
    <w:p>
      <w:pPr>
        <w:pStyle w:val="BodyText"/>
      </w:pPr>
      <w:r>
        <w:t xml:space="preserve">Eichengreen, B., Park, D., &amp; Shin, K. (2014). Growth slowdowns redux: New evidence on the middle-income trap.</w:t>
      </w:r>
      <w:r>
        <w:t xml:space="preserve"> </w:t>
      </w:r>
      <w:r>
        <w:rPr>
          <w:iCs/>
          <w:i/>
        </w:rPr>
        <w:t xml:space="preserve">Japan and the World Economy, 32</w:t>
      </w:r>
      <w:r>
        <w:t xml:space="preserve">, 65-84. https://doi.org/10.1016/j.japwor.2014.07.003</w:t>
      </w:r>
    </w:p>
    <w:p>
      <w:pPr>
        <w:pStyle w:val="BodyText"/>
      </w:pPr>
      <w:r>
        <w:t xml:space="preserve">Epoch AI. (2026).</w:t>
      </w:r>
      <w:r>
        <w:t xml:space="preserve"> </w:t>
      </w:r>
      <w:r>
        <w:rPr>
          <w:iCs/>
          <w:i/>
        </w:rPr>
        <w:t xml:space="preserve">Total cost of ownership of a one-gigawatt AI data center</w:t>
      </w:r>
      <w:r>
        <w:t xml:space="preserve">. https://epoch.ai/data-insights/ai-datacenter-cost-breakdown</w:t>
      </w:r>
    </w:p>
    <w:p>
      <w:pPr>
        <w:pStyle w:val="BodyText"/>
      </w:pPr>
      <w:r>
        <w:t xml:space="preserve">Fairfield, T., &amp; Charman, A. E. (2017). Explicit Bayesian analysis for process tracing: Guidelines, opportunities, and caveats.</w:t>
      </w:r>
      <w:r>
        <w:t xml:space="preserve"> </w:t>
      </w:r>
      <w:r>
        <w:rPr>
          <w:iCs/>
          <w:i/>
        </w:rPr>
        <w:t xml:space="preserve">Political Analysis, 25</w:t>
      </w:r>
      <w:r>
        <w:t xml:space="preserve">(3), 363-380. https://doi.org/10.1017/pan.2017.14</w:t>
      </w:r>
    </w:p>
    <w:p>
      <w:pPr>
        <w:pStyle w:val="BodyText"/>
      </w:pPr>
      <w:r>
        <w:t xml:space="preserve">Fuest, C., Gros, D., Mengel, P.-L., Presidente, G., &amp; Tirole, J. (2024).</w:t>
      </w:r>
      <w:r>
        <w:t xml:space="preserve"> </w:t>
      </w:r>
      <w:r>
        <w:rPr>
          <w:iCs/>
          <w:i/>
        </w:rPr>
        <w:t xml:space="preserve">EU innovation policy: How to escape the middle technology trap</w:t>
      </w:r>
      <w:r>
        <w:t xml:space="preserve">. EconPol Europe and ifo Institute.</w:t>
      </w:r>
    </w:p>
    <w:p>
      <w:pPr>
        <w:pStyle w:val="BodyText"/>
      </w:pPr>
      <w:r>
        <w:t xml:space="preserve">Gill, I., &amp; Kharas, H. (2007).</w:t>
      </w:r>
      <w:r>
        <w:t xml:space="preserve"> </w:t>
      </w:r>
      <w:r>
        <w:rPr>
          <w:iCs/>
          <w:i/>
        </w:rPr>
        <w:t xml:space="preserve">An East Asian renaissance: Ideas for economic growth</w:t>
      </w:r>
      <w:r>
        <w:t xml:space="preserve">. World Bank.</w:t>
      </w:r>
    </w:p>
    <w:p>
      <w:pPr>
        <w:pStyle w:val="BodyText"/>
      </w:pPr>
      <w:r>
        <w:t xml:space="preserve">Glawe, L., &amp; Wagner, H. (2020). The middle-income trap 2.0: The increasing role of human capital in the age of automation and implications for developing Asia.</w:t>
      </w:r>
      <w:r>
        <w:t xml:space="preserve"> </w:t>
      </w:r>
      <w:r>
        <w:rPr>
          <w:iCs/>
          <w:i/>
        </w:rPr>
        <w:t xml:space="preserve">Asian Economic Papers, 19</w:t>
      </w:r>
      <w:r>
        <w:t xml:space="preserve">(3), 40-58. https://doi.org/10.1162/asep_a_00783</w:t>
      </w:r>
    </w:p>
    <w:p>
      <w:pPr>
        <w:pStyle w:val="BodyText"/>
      </w:pPr>
      <w:r>
        <w:t xml:space="preserve">Ide, E., &amp; Talamàs, E. (2025). Artificial intelligence in the knowledge economy.</w:t>
      </w:r>
      <w:r>
        <w:t xml:space="preserve"> </w:t>
      </w:r>
      <w:r>
        <w:rPr>
          <w:iCs/>
          <w:i/>
        </w:rPr>
        <w:t xml:space="preserve">Journal of Political Economy, 133</w:t>
      </w:r>
      <w:r>
        <w:t xml:space="preserve">, 3762-3800. https://doi.org/10.1086/737233</w:t>
      </w:r>
    </w:p>
    <w:p>
      <w:pPr>
        <w:pStyle w:val="BodyText"/>
      </w:pPr>
      <w:r>
        <w:t xml:space="preserve">Ide, E., &amp; Talamàs, E. (2026). The impact of AI on global knowledge work.</w:t>
      </w:r>
      <w:r>
        <w:t xml:space="preserve"> </w:t>
      </w:r>
      <w:r>
        <w:rPr>
          <w:iCs/>
          <w:i/>
        </w:rPr>
        <w:t xml:space="preserve">Journal of Monetary Economics, 157</w:t>
      </w:r>
      <w:r>
        <w:t xml:space="preserve">, 103876. https://doi.org/10.1016/j.jmoneco.2025.103876</w:t>
      </w:r>
    </w:p>
    <w:p>
      <w:pPr>
        <w:pStyle w:val="BodyText"/>
      </w:pPr>
      <w:r>
        <w:t xml:space="preserve">Imam, P. A., &amp; Temple, J. R. W. (2026). At the threshold: The increasing relevance of the middle-income trap.</w:t>
      </w:r>
      <w:r>
        <w:t xml:space="preserve"> </w:t>
      </w:r>
      <w:r>
        <w:rPr>
          <w:iCs/>
          <w:i/>
        </w:rPr>
        <w:t xml:space="preserve">Scandinavian Journal of Economics</w:t>
      </w:r>
      <w:r>
        <w:t xml:space="preserve">. Advance online publication. https://doi.org/10.1111/sjoe.70036</w:t>
      </w:r>
    </w:p>
    <w:p>
      <w:pPr>
        <w:pStyle w:val="BodyText"/>
      </w:pPr>
      <w:r>
        <w:t xml:space="preserve">Ke, Y. (2024). ASEAN Four’s middle income trap dilemma: Evidence of the middle technology trap.</w:t>
      </w:r>
      <w:r>
        <w:t xml:space="preserve"> </w:t>
      </w:r>
      <w:r>
        <w:rPr>
          <w:iCs/>
          <w:i/>
        </w:rPr>
        <w:t xml:space="preserve">Asian Review of Political Economy, 3</w:t>
      </w:r>
      <w:r>
        <w:t xml:space="preserve">(1), 1-29. https://doi.org/10.1007/s44216-024-00033-5</w:t>
      </w:r>
    </w:p>
    <w:p>
      <w:pPr>
        <w:pStyle w:val="BodyText"/>
      </w:pPr>
      <w:r>
        <w:t xml:space="preserve">Krippendorff, K. (2018).</w:t>
      </w:r>
      <w:r>
        <w:t xml:space="preserve"> </w:t>
      </w:r>
      <w:r>
        <w:rPr>
          <w:iCs/>
          <w:i/>
        </w:rPr>
        <w:t xml:space="preserve">Content analysis: An introduction to its methodology</w:t>
      </w:r>
      <w:r>
        <w:t xml:space="preserve"> </w:t>
      </w:r>
      <w:r>
        <w:t xml:space="preserve">(4th ed.). SAGE.</w:t>
      </w:r>
    </w:p>
    <w:p>
      <w:pPr>
        <w:pStyle w:val="BodyText"/>
      </w:pPr>
      <w:r>
        <w:t xml:space="preserve">Lee, K. (2013).</w:t>
      </w:r>
      <w:r>
        <w:t xml:space="preserve"> </w:t>
      </w:r>
      <w:r>
        <w:rPr>
          <w:iCs/>
          <w:i/>
        </w:rPr>
        <w:t xml:space="preserve">Schumpeterian analysis of economic catch-up: Knowledge, path-creation, and the middle-income trap</w:t>
      </w:r>
      <w:r>
        <w:t xml:space="preserve">. Cambridge University Press. https://doi.org/10.1017/CBO9781107337244</w:t>
      </w:r>
    </w:p>
    <w:p>
      <w:pPr>
        <w:pStyle w:val="BodyText"/>
      </w:pPr>
      <w:r>
        <w:t xml:space="preserve">Lee, K. (2019).</w:t>
      </w:r>
      <w:r>
        <w:t xml:space="preserve"> </w:t>
      </w:r>
      <w:r>
        <w:rPr>
          <w:iCs/>
          <w:i/>
        </w:rPr>
        <w:t xml:space="preserve">The art of economic catch-up: Barriers, detours and leapfrogging in innovation systems</w:t>
      </w:r>
      <w:r>
        <w:t xml:space="preserve">. Cambridge University Press. https://doi.org/10.1017/9781108588232</w:t>
      </w:r>
    </w:p>
    <w:p>
      <w:pPr>
        <w:pStyle w:val="BodyText"/>
      </w:pPr>
      <w:r>
        <w:t xml:space="preserve">Lee, K., Wong, C.-Y., Intarakumnerd, P., &amp; Limapornvanich, C. (2020). Is the Fourth Industrial Revolution a window of opportunity for upgrading or reinforcing the middle-income trap? Asian model of development in Southeast Asia.</w:t>
      </w:r>
      <w:r>
        <w:t xml:space="preserve"> </w:t>
      </w:r>
      <w:r>
        <w:rPr>
          <w:iCs/>
          <w:i/>
        </w:rPr>
        <w:t xml:space="preserve">Journal of Economic Policy Reform, 23</w:t>
      </w:r>
      <w:r>
        <w:t xml:space="preserve">(4), 408-425. https://doi.org/10.1080/17487870.2019.1565411</w:t>
      </w:r>
    </w:p>
    <w:p>
      <w:pPr>
        <w:pStyle w:val="BodyText"/>
      </w:pPr>
      <w:r>
        <w:t xml:space="preserve">Lehdonvirta, V., Wú, B., &amp; Hawkins, Z. (2024). Compute North vs. Compute South: The uneven possibilities of compute-based AI governance around the globe.</w:t>
      </w:r>
      <w:r>
        <w:t xml:space="preserve"> </w:t>
      </w:r>
      <w:r>
        <w:rPr>
          <w:iCs/>
          <w:i/>
        </w:rPr>
        <w:t xml:space="preserve">Proceedings of the AAAI/ACM Conference on AI, Ethics, and Society, 7</w:t>
      </w:r>
      <w:r>
        <w:t xml:space="preserve">(1), 828-838. https://doi.org/10.1609/aies.v7i1.31683</w:t>
      </w:r>
    </w:p>
    <w:p>
      <w:pPr>
        <w:pStyle w:val="BodyText"/>
      </w:pPr>
      <w:r>
        <w:t xml:space="preserve">Lehdonvirta, V., Wú, B., &amp; Hawkins, Z. (2025). Weaponised interdependence in a bipolar world: How economic forces and security interests shape the global reach of US and Chinese cloud data centres.</w:t>
      </w:r>
      <w:r>
        <w:t xml:space="preserve"> </w:t>
      </w:r>
      <w:r>
        <w:rPr>
          <w:iCs/>
          <w:i/>
        </w:rPr>
        <w:t xml:space="preserve">Review of International Political Economy, 32</w:t>
      </w:r>
      <w:r>
        <w:t xml:space="preserve">(5), 1442-1467. https://doi.org/10.1080/09692290.2025.2489077</w:t>
      </w:r>
    </w:p>
    <w:p>
      <w:pPr>
        <w:pStyle w:val="BodyText"/>
      </w:pPr>
      <w:r>
        <w:t xml:space="preserve">Mahoney, J. (2012). The logic of process tracing tests in the social sciences.</w:t>
      </w:r>
      <w:r>
        <w:t xml:space="preserve"> </w:t>
      </w:r>
      <w:r>
        <w:rPr>
          <w:iCs/>
          <w:i/>
        </w:rPr>
        <w:t xml:space="preserve">Sociological Methods &amp; Research, 41</w:t>
      </w:r>
      <w:r>
        <w:t xml:space="preserve">(4), 570-597. https://doi.org/10.1177/0049124112437709</w:t>
      </w:r>
    </w:p>
    <w:p>
      <w:pPr>
        <w:pStyle w:val="BodyText"/>
      </w:pPr>
      <w:r>
        <w:t xml:space="preserve">Malaysia Digital Economy Corporation. (2024).</w:t>
      </w:r>
      <w:r>
        <w:t xml:space="preserve"> </w:t>
      </w:r>
      <w:r>
        <w:rPr>
          <w:iCs/>
          <w:i/>
        </w:rPr>
        <w:t xml:space="preserve">Guidelines on Malaysia Digital (MD) tax incentive (new investment incentive)</w:t>
      </w:r>
      <w:r>
        <w:t xml:space="preserve">. MDEC.</w:t>
      </w:r>
    </w:p>
    <w:p>
      <w:pPr>
        <w:pStyle w:val="BodyText"/>
      </w:pPr>
      <w:r>
        <w:t xml:space="preserve">Malaysian Investment Development Authority. (2022).</w:t>
      </w:r>
      <w:r>
        <w:t xml:space="preserve"> </w:t>
      </w:r>
      <w:r>
        <w:rPr>
          <w:iCs/>
          <w:i/>
        </w:rPr>
        <w:t xml:space="preserve">Guidelines and procedures for the application of the Digital Ecosystem Acceleration (DESAC) scheme</w:t>
      </w:r>
      <w:r>
        <w:t xml:space="preserve">. MIDA.</w:t>
      </w:r>
    </w:p>
    <w:p>
      <w:pPr>
        <w:pStyle w:val="BodyText"/>
      </w:pPr>
      <w:r>
        <w:t xml:space="preserve">OECD. (2024).</w:t>
      </w:r>
      <w:r>
        <w:t xml:space="preserve"> </w:t>
      </w:r>
      <w:r>
        <w:rPr>
          <w:iCs/>
          <w:i/>
        </w:rPr>
        <w:t xml:space="preserve">Offshoring, reshoring and the evolving geography of jobs</w:t>
      </w:r>
      <w:r>
        <w:t xml:space="preserve"> </w:t>
      </w:r>
      <w:r>
        <w:t xml:space="preserve">(OECD Social, Employment and Migration Working Paper). OECD Publishing.</w:t>
      </w:r>
    </w:p>
    <w:p>
      <w:pPr>
        <w:pStyle w:val="BodyText"/>
      </w:pPr>
      <w:r>
        <w:t xml:space="preserve">Philippines. (2024).</w:t>
      </w:r>
      <w:r>
        <w:t xml:space="preserve"> </w:t>
      </w:r>
      <w:r>
        <w:rPr>
          <w:iCs/>
          <w:i/>
        </w:rPr>
        <w:t xml:space="preserve">Republic Act No. 12066: Corporate Recovery and Tax Incentives for Enterprises to Maximize Opportunities for Reinvigorating the Economy (CREATE MORE) Act</w:t>
      </w:r>
      <w:r>
        <w:t xml:space="preserve">. Congress of the Philippines.</w:t>
      </w:r>
    </w:p>
    <w:p>
      <w:pPr>
        <w:pStyle w:val="BodyText"/>
      </w:pPr>
      <w:r>
        <w:t xml:space="preserve">Philippines, Fiscal Incentives Review Board. (2025).</w:t>
      </w:r>
      <w:r>
        <w:t xml:space="preserve"> </w:t>
      </w:r>
      <w:r>
        <w:rPr>
          <w:iCs/>
          <w:i/>
        </w:rPr>
        <w:t xml:space="preserve">Implementing rules and regulations of Title XIII of the National Internal Revenue Code of 1997, as amended by Republic Act No. 12066</w:t>
      </w:r>
      <w:r>
        <w:t xml:space="preserve"> </w:t>
      </w:r>
      <w:r>
        <w:t xml:space="preserve">(FIRB Advisory No. 001-2025). FIRB.</w:t>
      </w:r>
    </w:p>
    <w:p>
      <w:pPr>
        <w:pStyle w:val="BodyText"/>
      </w:pPr>
      <w:r>
        <w:t xml:space="preserve">Schellekens, P., &amp; Skilling, D. (2024).</w:t>
      </w:r>
      <w:r>
        <w:t xml:space="preserve"> </w:t>
      </w:r>
      <w:r>
        <w:rPr>
          <w:iCs/>
          <w:i/>
        </w:rPr>
        <w:t xml:space="preserve">Three reasons why AI may widen global inequality</w:t>
      </w:r>
      <w:r>
        <w:t xml:space="preserve">. Center for Global Development.</w:t>
      </w:r>
    </w:p>
    <w:p>
      <w:pPr>
        <w:pStyle w:val="BodyText"/>
      </w:pPr>
      <w:r>
        <w:t xml:space="preserve">Seawright, J., &amp; Gerring, J. (2008). Case selection techniques in case study research: A menu of qualitative and quantitative options.</w:t>
      </w:r>
      <w:r>
        <w:t xml:space="preserve"> </w:t>
      </w:r>
      <w:r>
        <w:rPr>
          <w:iCs/>
          <w:i/>
        </w:rPr>
        <w:t xml:space="preserve">Political Research Quarterly, 61</w:t>
      </w:r>
      <w:r>
        <w:t xml:space="preserve">(2), 294-308. https://doi.org/10.1177/1065912907313077</w:t>
      </w:r>
    </w:p>
    <w:p>
      <w:pPr>
        <w:pStyle w:val="BodyText"/>
      </w:pPr>
      <w:r>
        <w:t xml:space="preserve">Turner &amp; Townsend. (2025).</w:t>
      </w:r>
      <w:r>
        <w:t xml:space="preserve"> </w:t>
      </w:r>
      <w:r>
        <w:rPr>
          <w:iCs/>
          <w:i/>
        </w:rPr>
        <w:t xml:space="preserve">Data centre construction cost index 2025-2026</w:t>
      </w:r>
      <w:r>
        <w:t xml:space="preserve">. Turner &amp; Townsend.</w:t>
      </w:r>
    </w:p>
    <w:p>
      <w:pPr>
        <w:pStyle w:val="BodyText"/>
      </w:pPr>
      <w:r>
        <w:t xml:space="preserve">Van Evera, S. (1997).</w:t>
      </w:r>
      <w:r>
        <w:t xml:space="preserve"> </w:t>
      </w:r>
      <w:r>
        <w:rPr>
          <w:iCs/>
          <w:i/>
        </w:rPr>
        <w:t xml:space="preserve">Guide to methods for students of political science</w:t>
      </w:r>
      <w:r>
        <w:t xml:space="preserve">. Cornell University Press.</w:t>
      </w:r>
    </w:p>
    <w:p>
      <w:pPr>
        <w:pStyle w:val="BodyText"/>
      </w:pPr>
      <w:r>
        <w:t xml:space="preserve">Vietnam. (2025).</w:t>
      </w:r>
      <w:r>
        <w:t xml:space="preserve"> </w:t>
      </w:r>
      <w:r>
        <w:rPr>
          <w:iCs/>
          <w:i/>
        </w:rPr>
        <w:t xml:space="preserve">Law on Artificial Intelligence, No. 134/2025/QH15</w:t>
      </w:r>
      <w:r>
        <w:t xml:space="preserve">. National Assembly of Vietnam.</w:t>
      </w:r>
    </w:p>
    <w:p>
      <w:pPr>
        <w:pStyle w:val="BodyText"/>
      </w:pPr>
      <w:r>
        <w:t xml:space="preserve">Vietnam. (2026a).</w:t>
      </w:r>
      <w:r>
        <w:t xml:space="preserve"> </w:t>
      </w:r>
      <w:r>
        <w:rPr>
          <w:iCs/>
          <w:i/>
        </w:rPr>
        <w:t xml:space="preserve">Decree No. 260/2026/ND-CP detailing the implementation of the Law on High Technology</w:t>
      </w:r>
      <w:r>
        <w:t xml:space="preserve">. Government of Vietnam.</w:t>
      </w:r>
    </w:p>
    <w:p>
      <w:pPr>
        <w:pStyle w:val="BodyText"/>
      </w:pPr>
      <w:r>
        <w:t xml:space="preserve">Vietnam. (2026b).</w:t>
      </w:r>
      <w:r>
        <w:t xml:space="preserve"> </w:t>
      </w:r>
      <w:r>
        <w:rPr>
          <w:iCs/>
          <w:i/>
        </w:rPr>
        <w:t xml:space="preserve">Decision No. 21/2026/QD-TTg promulgating the list of strategic technologies and strategic technology products</w:t>
      </w:r>
      <w:r>
        <w:t xml:space="preserve">. Prime Minister of Vietnam.</w:t>
      </w:r>
    </w:p>
    <w:p>
      <w:pPr>
        <w:pStyle w:val="BodyText"/>
      </w:pPr>
      <w:r>
        <w:t xml:space="preserve">Vietnam, General Statistics Office. (2024).</w:t>
      </w:r>
      <w:r>
        <w:t xml:space="preserve"> </w:t>
      </w:r>
      <w:r>
        <w:rPr>
          <w:iCs/>
          <w:i/>
        </w:rPr>
        <w:t xml:space="preserve">Statistical yearbook of Vietnam 2024</w:t>
      </w:r>
      <w:r>
        <w:t xml:space="preserve">. Statistical Publishing House.</w:t>
      </w:r>
    </w:p>
    <w:p>
      <w:pPr>
        <w:pStyle w:val="BodyText"/>
      </w:pPr>
      <w:r>
        <w:t xml:space="preserve">Vietnam, Ministry of Information and Communications. (2024).</w:t>
      </w:r>
      <w:r>
        <w:t xml:space="preserve"> </w:t>
      </w:r>
      <w:r>
        <w:rPr>
          <w:iCs/>
          <w:i/>
        </w:rPr>
        <w:t xml:space="preserve">Vietnam information and communication technology industry white book 2024</w:t>
      </w:r>
      <w:r>
        <w:t xml:space="preserve">. Information and Communications Publishing House.</w:t>
      </w:r>
    </w:p>
    <w:p>
      <w:pPr>
        <w:pStyle w:val="BodyText"/>
      </w:pPr>
      <w:r>
        <w:t xml:space="preserve">Zheng, Y. (2024). The middle technology trap: China in a comparative perspective.</w:t>
      </w:r>
      <w:r>
        <w:t xml:space="preserve"> </w:t>
      </w:r>
      <w:r>
        <w:rPr>
          <w:iCs/>
          <w:i/>
        </w:rPr>
        <w:t xml:space="preserve">Asian Review of Political Economy, 3</w:t>
      </w:r>
      <w:r>
        <w:t xml:space="preserve">(1), 11. https://doi.org/10.1007/s44216-024-00030-8</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Incentive Design and Domestic Firms’ Entry into the AI Stack: Evidence from Thailand, Vietnam, Malaysia and the Philippines</dc:title>
  <dc:creator/>
  <cp:keywords/>
  <dcterms:created xsi:type="dcterms:W3CDTF">2026-10-09T01:54:39Z</dcterms:created>
  <dcterms:modified xsi:type="dcterms:W3CDTF">2026-10-09T01:54:39Z</dcterms:modified>
</cp:coreProperties>
</file>

<file path=docProps/custom.xml><?xml version="1.0" encoding="utf-8"?>
<Properties xmlns="http://schemas.openxmlformats.org/officeDocument/2006/custom-properties" xmlns:vt="http://schemas.openxmlformats.org/officeDocument/2006/docPropsVTypes"/>
</file>