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1 to 5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Tables S2 to S4 give the sources, the full evidence matrix and an illustrative ladder.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the codebook given below.</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four high-speed links; concurrent maintainability; plan of benefits to Thailand; Thai personnel in at least half of executive and expert positions within three years; the higher tier also requires a power usage effectiveness of 1.3 or lower</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(i) (research institutions)</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 restricts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(ii)+(iii), for research tasks</w:t>
            </w:r>
          </w:p>
        </w:tc>
        <w:tc>
          <w:tcPr>
            <w:tcW w:type="dxa" w:w="2003"/>
          </w:tcPr>
          <w:p>
            <w:pPr>
              <w:pStyle w:val="Compact"/>
              <w:jc w:val="left"/>
            </w:pPr>
            <w:r>
              <w:rPr>
                <w:sz w:val="15"/>
              </w:rPr>
              <w:t xml:space="preserve">Indirect: investment cost deductible for corporate income tax</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 not scale-based,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Not applicable: discretionary</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table-s2.-primary-sources-coded"/>
    <w:p>
      <w:pPr>
        <w:pStyle w:val="Heading2"/>
      </w:pPr>
      <w:r>
        <w:t xml:space="preserve">Table S2. Primary sources coded</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Source</w:t>
            </w:r>
          </w:p>
        </w:tc>
        <w:tc>
          <w:tcPr>
            <w:tcW w:type="dxa" w:w="2015"/>
          </w:tcPr>
          <w:p>
            <w:pPr>
              <w:pStyle w:val="Compact"/>
              <w:jc w:val="left"/>
            </w:pPr>
            <w:r>
              <w:rPr>
                <w:b/>
                <w:sz w:val="15"/>
              </w:rPr>
              <w:t xml:space="preserve">Issuer</w:t>
            </w:r>
          </w:p>
        </w:tc>
        <w:tc>
          <w:tcPr>
            <w:tcW w:type="dxa" w:w="2015"/>
          </w:tcPr>
          <w:p>
            <w:pPr>
              <w:pStyle w:val="Compact"/>
              <w:jc w:val="left"/>
            </w:pPr>
            <w:r>
              <w:rPr>
                <w:b/>
                <w:sz w:val="15"/>
              </w:rPr>
              <w:t xml:space="preserve">Date in force</w:t>
            </w:r>
          </w:p>
        </w:tc>
        <w:tc>
          <w:tcPr>
            <w:tcW w:type="dxa" w:w="2187"/>
          </w:tcPr>
          <w:p>
            <w:pPr>
              <w:pStyle w:val="Compact"/>
              <w:jc w:val="left"/>
            </w:pPr>
            <w:r>
              <w:rPr>
                <w:b/>
                <w:sz w:val="15"/>
              </w:rPr>
              <w:t xml:space="preserve">Language / translation</w:t>
            </w:r>
          </w:p>
        </w:tc>
        <w:tc>
          <w:tcPr>
            <w:tcW w:type="dxa" w:w="2418"/>
          </w:tcPr>
          <w:p>
            <w:pPr>
              <w:pStyle w:val="Compact"/>
              <w:jc w:val="left"/>
            </w:pPr>
            <w:r>
              <w:rPr>
                <w:b/>
                <w:sz w:val="15"/>
              </w:rPr>
              <w:t xml:space="preserve">Accessed</w:t>
            </w:r>
          </w:p>
        </w:tc>
        <w:tc>
          <w:tcPr>
            <w:tcW w:type="dxa" w:w="2763"/>
          </w:tcPr>
          <w:p>
            <w:pPr>
              <w:pStyle w:val="Compact"/>
              <w:jc w:val="left"/>
            </w:pPr>
            <w:r>
              <w:rPr>
                <w:b/>
                <w:sz w:val="15"/>
              </w:rPr>
              <w:t xml:space="preserve">Amendments, repeals and implementing rules checked (date)</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BOI Investment Promotion Guide 2026; BOI Announcements 9/2565 (8 December 2022), 10/2565, Sor. 5/2568 (5 June 2025) and Sor. 9/2568 (14 November 2025); approval statistics January to December 2025</w:t>
            </w:r>
          </w:p>
        </w:tc>
        <w:tc>
          <w:tcPr>
            <w:tcW w:type="dxa" w:w="2015"/>
          </w:tcPr>
          <w:p>
            <w:pPr>
              <w:pStyle w:val="Compact"/>
              <w:jc w:val="left"/>
            </w:pPr>
            <w:r>
              <w:rPr>
                <w:sz w:val="15"/>
              </w:rPr>
              <w:t xml:space="preserve">Board of Investment</w:t>
            </w:r>
          </w:p>
        </w:tc>
        <w:tc>
          <w:tcPr>
            <w:tcW w:type="dxa" w:w="2015"/>
          </w:tcPr>
          <w:p>
            <w:pPr>
              <w:pStyle w:val="Compact"/>
              <w:jc w:val="left"/>
            </w:pPr>
            <w:r>
              <w:rPr>
                <w:sz w:val="15"/>
              </w:rPr>
              <w:t xml:space="preserve">Sor. 9/2568 applies to applications from 14 November 2025</w:t>
            </w:r>
          </w:p>
        </w:tc>
        <w:tc>
          <w:tcPr>
            <w:tcW w:type="dxa" w:w="2187"/>
          </w:tcPr>
          <w:p>
            <w:pPr>
              <w:pStyle w:val="Compact"/>
              <w:jc w:val="left"/>
            </w:pPr>
            <w:r>
              <w:rPr>
                <w:sz w:val="15"/>
              </w:rPr>
              <w:t xml:space="preserve">English (BOI unofficial translation)</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Guide 2026 and Sor. 9/2568 are the current texts and Sor. 5/2568 and 9/2568 amend 9/2565; the Thai original and Royal Gazette text are to be checked (not yet read)</w:t>
            </w:r>
          </w:p>
        </w:tc>
      </w:tr>
      <w:tr>
        <w:tc>
          <w:tcPr>
            <w:tcW w:type="dxa" w:w="748"/>
          </w:tcPr>
          <w:p>
            <w:pPr>
              <w:pStyle w:val="Compact"/>
              <w:jc w:val="left"/>
            </w:pPr>
            <w:r>
              <w:rPr>
                <w:sz w:val="15"/>
              </w:rPr>
              <w:t xml:space="preserve">Vietnam</w:t>
            </w:r>
          </w:p>
        </w:tc>
        <w:tc>
          <w:tcPr>
            <w:tcW w:type="dxa" w:w="2878"/>
          </w:tcPr>
          <w:p>
            <w:pPr>
              <w:pStyle w:val="Compact"/>
              <w:jc w:val="left"/>
            </w:pPr>
            <w:r>
              <w:rPr>
                <w:sz w:val="15"/>
              </w:rPr>
              <w:t xml:space="preserve">Decree 260/2026/ND-CP (30 June 2026; in force 1 July 2026; replaces Decree 10/2024); Decision 21/2026/QD-TTg (replaces Decision 1131/QD-TTg of 2025)</w:t>
            </w:r>
          </w:p>
        </w:tc>
        <w:tc>
          <w:tcPr>
            <w:tcW w:type="dxa" w:w="2015"/>
          </w:tcPr>
          <w:p>
            <w:pPr>
              <w:pStyle w:val="Compact"/>
              <w:jc w:val="left"/>
            </w:pPr>
            <w:r>
              <w:rPr>
                <w:sz w:val="15"/>
              </w:rPr>
              <w:t xml:space="preserve">Government; Prime Minister</w:t>
            </w:r>
          </w:p>
        </w:tc>
        <w:tc>
          <w:tcPr>
            <w:tcW w:type="dxa" w:w="2015"/>
          </w:tcPr>
          <w:p>
            <w:pPr>
              <w:pStyle w:val="Compact"/>
              <w:jc w:val="left"/>
            </w:pPr>
            <w:r>
              <w:rPr>
                <w:sz w:val="15"/>
              </w:rPr>
              <w:t xml:space="preserve">1 July 2026</w:t>
            </w:r>
          </w:p>
        </w:tc>
        <w:tc>
          <w:tcPr>
            <w:tcW w:type="dxa" w:w="2187"/>
          </w:tcPr>
          <w:p>
            <w:pPr>
              <w:pStyle w:val="Compact"/>
              <w:jc w:val="left"/>
            </w:pPr>
            <w:r>
              <w:rPr>
                <w:sz w:val="15"/>
              </w:rPr>
              <w:t xml:space="preserve">Vietnamese original, read through the Thu Vien Phap Luat legal database, not the official gazette</w:t>
            </w:r>
          </w:p>
        </w:tc>
        <w:tc>
          <w:tcPr>
            <w:tcW w:type="dxa" w:w="2418"/>
          </w:tcPr>
          <w:p>
            <w:pPr>
              <w:pStyle w:val="Compact"/>
              <w:jc w:val="left"/>
            </w:pPr>
            <w:r>
              <w:rPr>
                <w:sz w:val="15"/>
              </w:rPr>
              <w:t xml:space="preserve">Decree 260 and Decision 21/2026 read in full 9 October 2026</w:t>
            </w:r>
          </w:p>
        </w:tc>
        <w:tc>
          <w:tcPr>
            <w:tcW w:type="dxa" w:w="2763"/>
          </w:tcPr>
          <w:p>
            <w:pPr>
              <w:pStyle w:val="Compact"/>
              <w:jc w:val="left"/>
            </w:pPr>
            <w:r>
              <w:rPr>
                <w:sz w:val="15"/>
              </w:rPr>
              <w:t xml:space="preserve">Implementing circulars 38, 40, 42, 48 and 49/2026/TT-BKHCN and Decrees 20/2026 and 264/2025 identified; the circulars (including Circular 34/2025/TT-BKHCN on procurement preference) not yet read (not yet read)</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Guidelines on Malaysia Digital (MD) Tax Incentive, New Investment Incentive (revised 22 July 2025); Guidelines and Procedures for DESAC (version on MIDA’s site, December 2024); Guideline for Sustainable Development of Data Centre (December 2024)</w:t>
            </w:r>
          </w:p>
        </w:tc>
        <w:tc>
          <w:tcPr>
            <w:tcW w:type="dxa" w:w="2015"/>
          </w:tcPr>
          <w:p>
            <w:pPr>
              <w:pStyle w:val="Compact"/>
              <w:jc w:val="left"/>
            </w:pPr>
            <w:r>
              <w:rPr>
                <w:sz w:val="15"/>
              </w:rPr>
              <w:t xml:space="preserve">MDEC; MIDA; MITI (hosted by MIDA)</w:t>
            </w:r>
          </w:p>
        </w:tc>
        <w:tc>
          <w:tcPr>
            <w:tcW w:type="dxa" w:w="2015"/>
          </w:tcPr>
          <w:p>
            <w:pPr>
              <w:pStyle w:val="Compact"/>
              <w:jc w:val="left"/>
            </w:pPr>
            <w:r>
              <w:rPr>
                <w:sz w:val="15"/>
              </w:rPr>
              <w:t xml:space="preserve">DESAC applications received 1 January 2022 to 31 December 2027; MD guideline July 2025</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New Incentive Framework (manufacturing from 1 March 2026, services from Q2 2026) does not withdraw DESAC, which stays available until its window expires (MIDA NIF FAQ, question 20); checked 9 October 2026</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tcW w:type="dxa" w:w="2015"/>
          </w:tcPr>
          <w:p>
            <w:pPr>
              <w:pStyle w:val="Compact"/>
              <w:jc w:val="left"/>
            </w:pPr>
            <w:r>
              <w:rPr>
                <w:sz w:val="15"/>
              </w:rPr>
              <w:t xml:space="preserve">Congress; Department of Finance and Department of Trade and Industry; Office of the President</w:t>
            </w:r>
          </w:p>
        </w:tc>
        <w:tc>
          <w:tcPr>
            <w:tcW w:type="dxa" w:w="2015"/>
          </w:tcPr>
          <w:p>
            <w:pPr>
              <w:pStyle w:val="Compact"/>
              <w:jc w:val="left"/>
            </w:pPr>
            <w:r>
              <w:rPr>
                <w:sz w:val="15"/>
              </w:rPr>
              <w:t xml:space="preserve">Act 2024; rules February 2025; SIPP 2026</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All three read in full 9 October 2026</w:t>
            </w:r>
          </w:p>
        </w:tc>
        <w:tc>
          <w:tcPr>
            <w:tcW w:type="dxa" w:w="2763"/>
          </w:tcPr>
          <w:p>
            <w:pPr>
              <w:pStyle w:val="Compact"/>
              <w:jc w:val="left"/>
            </w:pPr>
            <w:r>
              <w:rPr>
                <w:sz w:val="15"/>
              </w:rPr>
              <w:t xml:space="preserve">FIRB Advisory 009-2026 circularizing the 2026 SIPP identified; the SIPP qualification guidelines and the FIRB’s published amendments not yet read (not yet read)</w:t>
            </w:r>
          </w:p>
        </w:tc>
      </w:tr>
    </w:tbl>
    <w:p>
      <w:pPr>
        <w:pStyle w:val="BodyText"/>
      </w:pPr>
      <w:r>
        <w:rPr>
          <w:iCs/>
          <w:i/>
        </w:rPr>
        <w:t xml:space="preserve">Note.</w:t>
      </w:r>
      <w:r>
        <w:t xml:space="preserve"> </w:t>
      </w:r>
      <w:r>
        <w:t xml:space="preserve">Currency figures are converted at about 35.7 baht, 4.55 ringgit and 57.7 pesos to the US dollar. The Vietnamese texts were read through a commercial legal database, not the official gazette.</w:t>
      </w:r>
    </w:p>
    <w:bookmarkEnd w:id="27"/>
    <w:bookmarkStart w:id="28" w:name="table-s3.-full-evidence-matrix"/>
    <w:p>
      <w:pPr>
        <w:pStyle w:val="Heading2"/>
      </w:pPr>
      <w:r>
        <w:t xml:space="preserve">Table S3. Full evidence matrix</w:t>
      </w:r>
    </w:p>
    <w:p>
      <w:pPr>
        <w:pStyle w:val="FirstParagraph"/>
      </w:pPr>
      <w:r>
        <w:t xml:space="preserve">Rating rubric. A hypothesis is rated</w:t>
      </w:r>
      <w:r>
        <w:t xml:space="preserve"> </w:t>
      </w:r>
      <w:r>
        <w:rPr>
          <w:iCs/>
          <w:i/>
        </w:rPr>
        <w:t xml:space="preserve">expected</w:t>
      </w:r>
      <w:r>
        <w:t xml:space="preserve"> </w:t>
      </w:r>
      <w:r>
        <w:t xml:space="preserve">(E) when a stated prediction (P1a to P3c, Section 2.4 of the manuscript) predicts the evidence,</w:t>
      </w:r>
      <w:r>
        <w:t xml:space="preserve"> </w:t>
      </w:r>
      <w:r>
        <w:rPr>
          <w:iCs/>
          <w:i/>
        </w:rPr>
        <w:t xml:space="preserve">compatible</w:t>
      </w:r>
      <w:r>
        <w:t xml:space="preserve"> </w:t>
      </w:r>
      <w:r>
        <w:t xml:space="preserve">(C) when no prediction covers it and it is not in tension with any,</w:t>
      </w:r>
      <w:r>
        <w:t xml:space="preserve"> </w:t>
      </w:r>
      <w:r>
        <w:rPr>
          <w:iCs/>
          <w:i/>
        </w:rPr>
        <w:t xml:space="preserve">unexpected</w:t>
      </w:r>
      <w:r>
        <w:t xml:space="preserve"> </w:t>
      </w:r>
      <w:r>
        <w:t xml:space="preserve">(U) when it is in tension with a prediction or can be reconciled only with an additional assumption, and</w:t>
      </w:r>
      <w:r>
        <w:t xml:space="preserve"> </w:t>
      </w:r>
      <w:r>
        <w:rPr>
          <w:iCs/>
          <w:i/>
        </w:rPr>
        <w:t xml:space="preserve">contradicted</w:t>
      </w:r>
      <w:r>
        <w:t xml:space="preserve"> </w:t>
      </w:r>
      <w:r>
        <w:t xml:space="preserve">(X) when it is inconsistent with the hypothesis.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it depends on assumption A1 or on coding not yet verified; and</w:t>
      </w:r>
      <w:r>
        <w:t xml:space="preserve"> </w:t>
      </w:r>
      <w:r>
        <w:rPr>
          <w:iCs/>
          <w:i/>
        </w:rPr>
        <w:t xml:space="preserve">weak</w:t>
      </w:r>
      <w:r>
        <w:t xml:space="preserve"> </w:t>
      </w:r>
      <w:r>
        <w:t xml:space="preserve">if no hypothesis is U or X.</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w:t>
            </w:r>
          </w:p>
        </w:tc>
        <w:tc>
          <w:tcPr>
            <w:tcW w:type="dxa" w:w="2878"/>
          </w:tcPr>
          <w:p>
            <w:pPr>
              <w:pStyle w:val="Compact"/>
              <w:jc w:val="left"/>
            </w:pPr>
            <w:r>
              <w:rPr>
                <w:b/>
                <w:sz w:val="15"/>
              </w:rPr>
              <w:t xml:space="preserve">Evidence (country)</w:t>
            </w:r>
          </w:p>
        </w:tc>
        <w:tc>
          <w:tcPr>
            <w:tcW w:type="dxa" w:w="2015"/>
          </w:tcPr>
          <w:p>
            <w:pPr>
              <w:pStyle w:val="Compact"/>
              <w:jc w:val="left"/>
            </w:pPr>
            <w:r>
              <w:rPr>
                <w:b/>
                <w:sz w:val="15"/>
              </w:rPr>
              <w:t xml:space="preserve">H1 cost</w:t>
            </w:r>
          </w:p>
        </w:tc>
        <w:tc>
          <w:tcPr>
            <w:tcW w:type="dxa" w:w="2015"/>
          </w:tcPr>
          <w:p>
            <w:pPr>
              <w:pStyle w:val="Compact"/>
              <w:jc w:val="left"/>
            </w:pPr>
            <w:r>
              <w:rPr>
                <w:b/>
                <w:sz w:val="15"/>
              </w:rPr>
              <w:t xml:space="preserve">H2 design</w:t>
            </w:r>
          </w:p>
        </w:tc>
        <w:tc>
          <w:tcPr>
            <w:tcW w:type="dxa" w:w="2187"/>
          </w:tcPr>
          <w:p>
            <w:pPr>
              <w:pStyle w:val="Compact"/>
              <w:jc w:val="left"/>
            </w:pPr>
            <w:r>
              <w:rPr>
                <w:b/>
                <w:sz w:val="15"/>
              </w:rPr>
              <w:t xml:space="preserve">H3 habit</w:t>
            </w:r>
          </w:p>
        </w:tc>
        <w:tc>
          <w:tcPr>
            <w:tcW w:type="dxa" w:w="2418"/>
          </w:tcPr>
          <w:p>
            <w:pPr>
              <w:pStyle w:val="Compact"/>
              <w:jc w:val="left"/>
            </w:pPr>
            <w:r>
              <w:rPr>
                <w:b/>
                <w:sz w:val="15"/>
              </w:rPr>
              <w:t xml:space="preserve">Pair separated and weight</w:t>
            </w:r>
          </w:p>
        </w:tc>
        <w:tc>
          <w:tcPr>
            <w:tcW w:type="dxa" w:w="2763"/>
          </w:tcPr>
          <w:p>
            <w:pPr>
              <w:pStyle w:val="Compact"/>
              <w:jc w:val="left"/>
            </w:pPr>
            <w:r>
              <w:rPr>
                <w:b/>
                <w:sz w:val="15"/>
              </w:rPr>
              <w:t xml:space="preserve">What would change the rating</w:t>
            </w:r>
          </w:p>
        </w:tc>
      </w:tr>
      <w:tr>
        <w:tc>
          <w:tcPr>
            <w:tcW w:type="dxa" w:w="748"/>
          </w:tcPr>
          <w:p>
            <w:pPr>
              <w:pStyle w:val="Compact"/>
              <w:jc w:val="left"/>
            </w:pPr>
            <w:r>
              <w:rPr>
                <w:sz w:val="15"/>
              </w:rPr>
              <w:t xml:space="preserve">E1</w:t>
            </w:r>
          </w:p>
        </w:tc>
        <w:tc>
          <w:tcPr>
            <w:tcW w:type="dxa" w:w="2878"/>
          </w:tcPr>
          <w:p>
            <w:pPr>
              <w:pStyle w:val="Compact"/>
              <w:jc w:val="left"/>
            </w:pPr>
            <w:r>
              <w:rPr>
                <w:sz w:val="15"/>
              </w:rPr>
              <w:t xml:space="preserve">Software threshold far below GPU-hosting capital condition (Thailand)</w:t>
            </w:r>
          </w:p>
        </w:tc>
        <w:tc>
          <w:tcPr>
            <w:tcW w:type="dxa" w:w="2015"/>
          </w:tcPr>
          <w:p>
            <w:pPr>
              <w:pStyle w:val="Compact"/>
              <w:jc w:val="left"/>
            </w:pPr>
            <w:r>
              <w:rPr>
                <w:sz w:val="15"/>
              </w:rPr>
              <w:t xml:space="preserve">E (P1a)</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Not diagnostic</w:t>
            </w:r>
          </w:p>
        </w:tc>
      </w:tr>
      <w:tr>
        <w:tc>
          <w:tcPr>
            <w:tcW w:type="dxa" w:w="748"/>
          </w:tcPr>
          <w:p>
            <w:pPr>
              <w:pStyle w:val="Compact"/>
              <w:jc w:val="left"/>
            </w:pPr>
            <w:r>
              <w:rPr>
                <w:sz w:val="15"/>
              </w:rPr>
              <w:t xml:space="preserve">E2</w:t>
            </w:r>
          </w:p>
        </w:tc>
        <w:tc>
          <w:tcPr>
            <w:tcW w:type="dxa" w:w="2878"/>
          </w:tcPr>
          <w:p>
            <w:pPr>
              <w:pStyle w:val="Compact"/>
              <w:jc w:val="left"/>
            </w:pPr>
            <w:r>
              <w:rPr>
                <w:sz w:val="15"/>
              </w:rPr>
              <w:t xml:space="preserve">Malaysia’s low-capital digital track covers cloud (RM50,000 paid-up capital), beside a data-centre track whose smallest category is 0.85 MW</w:t>
            </w:r>
          </w:p>
        </w:tc>
        <w:tc>
          <w:tcPr>
            <w:tcW w:type="dxa" w:w="2015"/>
          </w:tcPr>
          <w:p>
            <w:pPr>
              <w:pStyle w:val="Compact"/>
              <w:jc w:val="left"/>
            </w:pPr>
            <w:r>
              <w:rPr>
                <w:sz w:val="15"/>
              </w:rPr>
              <w:t xml:space="preserve">C</w:t>
            </w:r>
          </w:p>
        </w:tc>
        <w:tc>
          <w:tcPr>
            <w:tcW w:type="dxa" w:w="2015"/>
          </w:tcPr>
          <w:p>
            <w:pPr>
              <w:pStyle w:val="Compact"/>
              <w:jc w:val="left"/>
            </w:pPr>
            <w:r>
              <w:rPr>
                <w:sz w:val="15"/>
              </w:rPr>
              <w:t xml:space="preserve">U (P2a, if the MD track admits capacity resale; to be confirmed)</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H2 against H1 and H3: Moderate, provisional</w:t>
            </w:r>
          </w:p>
        </w:tc>
        <w:tc>
          <w:tcPr>
            <w:tcW w:type="dxa" w:w="2763"/>
          </w:tcPr>
          <w:p>
            <w:pPr>
              <w:pStyle w:val="Compact"/>
              <w:jc w:val="left"/>
            </w:pPr>
            <w:r>
              <w:rPr>
                <w:sz w:val="15"/>
              </w:rPr>
              <w:t xml:space="preserve">MDEC’s reading of MD activities</w:t>
            </w:r>
          </w:p>
        </w:tc>
      </w:tr>
      <w:tr>
        <w:tc>
          <w:tcPr>
            <w:tcW w:type="dxa" w:w="748"/>
          </w:tcPr>
          <w:p>
            <w:pPr>
              <w:pStyle w:val="Compact"/>
              <w:jc w:val="left"/>
            </w:pPr>
            <w:r>
              <w:rPr>
                <w:sz w:val="15"/>
              </w:rPr>
              <w:t xml:space="preserve">E3</w:t>
            </w:r>
          </w:p>
        </w:tc>
        <w:tc>
          <w:tcPr>
            <w:tcW w:type="dxa" w:w="2878"/>
          </w:tcPr>
          <w:p>
            <w:pPr>
              <w:pStyle w:val="Compact"/>
              <w:jc w:val="left"/>
            </w:pPr>
            <w:r>
              <w:rPr>
                <w:sz w:val="15"/>
              </w:rPr>
              <w:t xml:space="preserve">No instrument aimed at sub-facility compute (Thailand, Vietnam, Philippines; absence on coded instruments)</w:t>
            </w:r>
          </w:p>
        </w:tc>
        <w:tc>
          <w:tcPr>
            <w:tcW w:type="dxa" w:w="2015"/>
          </w:tcPr>
          <w:p>
            <w:pPr>
              <w:pStyle w:val="Compact"/>
              <w:jc w:val="left"/>
            </w:pPr>
            <w:r>
              <w:rPr>
                <w:sz w:val="15"/>
              </w:rPr>
              <w:t xml:space="preserve">U if A1 holds, E if A1 fails</w:t>
            </w:r>
          </w:p>
        </w:tc>
        <w:tc>
          <w:tcPr>
            <w:tcW w:type="dxa" w:w="2015"/>
          </w:tcPr>
          <w:p>
            <w:pPr>
              <w:pStyle w:val="Compact"/>
              <w:jc w:val="left"/>
            </w:pPr>
            <w:r>
              <w:rPr>
                <w:sz w:val="15"/>
              </w:rPr>
              <w:t xml:space="preserve">E if A1 holds (P2a)</w:t>
            </w:r>
          </w:p>
        </w:tc>
        <w:tc>
          <w:tcPr>
            <w:tcW w:type="dxa" w:w="2187"/>
          </w:tcPr>
          <w:p>
            <w:pPr>
              <w:pStyle w:val="Compact"/>
              <w:jc w:val="left"/>
            </w:pPr>
            <w:r>
              <w:rPr>
                <w:sz w:val="15"/>
              </w:rPr>
              <w:t xml:space="preserve">E (P3b)</w:t>
            </w:r>
          </w:p>
        </w:tc>
        <w:tc>
          <w:tcPr>
            <w:tcW w:type="dxa" w:w="2418"/>
          </w:tcPr>
          <w:p>
            <w:pPr>
              <w:pStyle w:val="Compact"/>
              <w:jc w:val="left"/>
            </w:pPr>
            <w:r>
              <w:rPr>
                <w:sz w:val="15"/>
              </w:rPr>
              <w:t xml:space="preserve">H1 against {H2, H3}: Moderate, conditional on A1 and on the search protocol</w:t>
            </w:r>
          </w:p>
        </w:tc>
        <w:tc>
          <w:tcPr>
            <w:tcW w:type="dxa" w:w="2763"/>
          </w:tcPr>
          <w:p>
            <w:pPr>
              <w:pStyle w:val="Compact"/>
              <w:jc w:val="left"/>
            </w:pPr>
            <w:r>
              <w:rPr>
                <w:sz w:val="15"/>
              </w:rPr>
              <w:t xml:space="preserve">Viability benchmark; applicable general instrument; hypothetical-firm test</w:t>
            </w:r>
          </w:p>
        </w:tc>
      </w:tr>
      <w:tr>
        <w:tc>
          <w:tcPr>
            <w:tcW w:type="dxa" w:w="748"/>
          </w:tcPr>
          <w:p>
            <w:pPr>
              <w:pStyle w:val="Compact"/>
              <w:jc w:val="left"/>
            </w:pPr>
            <w:r>
              <w:rPr>
                <w:sz w:val="15"/>
              </w:rPr>
              <w:t xml:space="preserve">E4</w:t>
            </w:r>
          </w:p>
        </w:tc>
        <w:tc>
          <w:tcPr>
            <w:tcW w:type="dxa" w:w="2878"/>
          </w:tcPr>
          <w:p>
            <w:pPr>
              <w:pStyle w:val="Compact"/>
              <w:jc w:val="left"/>
            </w:pPr>
            <w:r>
              <w:rPr>
                <w:sz w:val="15"/>
              </w:rPr>
              <w:t xml:space="preserve">No capital condition at the compute layers despite their capital intensity (Vietnam, Philippines)</w:t>
            </w:r>
          </w:p>
        </w:tc>
        <w:tc>
          <w:tcPr>
            <w:tcW w:type="dxa" w:w="2015"/>
          </w:tcPr>
          <w:p>
            <w:pPr>
              <w:pStyle w:val="Compact"/>
              <w:jc w:val="left"/>
            </w:pPr>
            <w:r>
              <w:rPr>
                <w:sz w:val="15"/>
              </w:rPr>
              <w:t xml:space="preserve">U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H3}: Moderate; rests on Decision 21/2026, Decree 260 and the Act and Plan, with the Vietnamese circulars and the Philippine qualification guidelines unread</w:t>
            </w:r>
          </w:p>
        </w:tc>
        <w:tc>
          <w:tcPr>
            <w:tcW w:type="dxa" w:w="2763"/>
          </w:tcPr>
          <w:p>
            <w:pPr>
              <w:pStyle w:val="Compact"/>
              <w:jc w:val="left"/>
            </w:pPr>
            <w:r>
              <w:rPr>
                <w:sz w:val="15"/>
              </w:rPr>
              <w:t xml:space="preserve">The circulars and the guidelines</w:t>
            </w:r>
          </w:p>
        </w:tc>
      </w:tr>
      <w:tr>
        <w:tc>
          <w:tcPr>
            <w:tcW w:type="dxa" w:w="748"/>
          </w:tcPr>
          <w:p>
            <w:pPr>
              <w:pStyle w:val="Compact"/>
              <w:jc w:val="left"/>
            </w:pPr>
            <w:r>
              <w:rPr>
                <w:sz w:val="15"/>
              </w:rPr>
              <w:t xml:space="preserve">E5</w:t>
            </w:r>
          </w:p>
        </w:tc>
        <w:tc>
          <w:tcPr>
            <w:tcW w:type="dxa" w:w="2878"/>
          </w:tcPr>
          <w:p>
            <w:pPr>
              <w:pStyle w:val="Compact"/>
              <w:jc w:val="left"/>
            </w:pPr>
            <w:r>
              <w:rPr>
                <w:sz w:val="15"/>
              </w:rPr>
              <w:t xml:space="preserve">Extension of the exemption tied to spending of at least 1% of sales, or THB 200m if lower, in the first three years (Thailand; cross-sectoral measure, verified)</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E (P3a)</w:t>
            </w:r>
          </w:p>
        </w:tc>
        <w:tc>
          <w:tcPr>
            <w:tcW w:type="dxa" w:w="2418"/>
          </w:tcPr>
          <w:p>
            <w:pPr>
              <w:pStyle w:val="Compact"/>
              <w:jc w:val="left"/>
            </w:pPr>
            <w:r>
              <w:rPr>
                <w:sz w:val="15"/>
              </w:rPr>
              <w:t xml:space="preserve">H1 against {H2, H3}: Moderate</w:t>
            </w:r>
          </w:p>
        </w:tc>
        <w:tc>
          <w:tcPr>
            <w:tcW w:type="dxa" w:w="2763"/>
          </w:tcPr>
          <w:p>
            <w:pPr>
              <w:pStyle w:val="Compact"/>
              <w:jc w:val="left"/>
            </w:pPr>
            <w:r>
              <w:rPr>
                <w:sz w:val="15"/>
              </w:rPr>
              <w:t xml:space="preserve">How BOI applies the measure to firms without early sales</w:t>
            </w:r>
          </w:p>
        </w:tc>
      </w:tr>
      <w:tr>
        <w:tc>
          <w:tcPr>
            <w:tcW w:type="dxa" w:w="748"/>
          </w:tcPr>
          <w:p>
            <w:pPr>
              <w:pStyle w:val="Compact"/>
              <w:jc w:val="left"/>
            </w:pPr>
            <w:r>
              <w:rPr>
                <w:sz w:val="15"/>
              </w:rPr>
              <w:t xml:space="preserve">E6</w:t>
            </w:r>
          </w:p>
        </w:tc>
        <w:tc>
          <w:tcPr>
            <w:tcW w:type="dxa" w:w="2878"/>
          </w:tcPr>
          <w:p>
            <w:pPr>
              <w:pStyle w:val="Compact"/>
              <w:jc w:val="left"/>
            </w:pPr>
            <w:r>
              <w:rPr>
                <w:sz w:val="15"/>
              </w:rPr>
              <w:t xml:space="preserve">Auditor-verified annual self-declaration at the company’s cost in the low-capital track (Malaysia; verified against the July 2025 guideline)</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audit cost unmeasured</w:t>
            </w:r>
          </w:p>
        </w:tc>
        <w:tc>
          <w:tcPr>
            <w:tcW w:type="dxa" w:w="2763"/>
          </w:tcPr>
          <w:p>
            <w:pPr>
              <w:pStyle w:val="Compact"/>
              <w:jc w:val="left"/>
            </w:pPr>
            <w:r>
              <w:rPr>
                <w:sz w:val="15"/>
              </w:rPr>
              <w:t xml:space="preserve">Audit cost relative to RM50,000 of capital</w:t>
            </w:r>
          </w:p>
        </w:tc>
      </w:tr>
      <w:tr>
        <w:tc>
          <w:tcPr>
            <w:tcW w:type="dxa" w:w="748"/>
          </w:tcPr>
          <w:p>
            <w:pPr>
              <w:pStyle w:val="Compact"/>
              <w:jc w:val="left"/>
            </w:pPr>
            <w:r>
              <w:rPr>
                <w:sz w:val="15"/>
              </w:rPr>
              <w:t xml:space="preserve">E7</w:t>
            </w:r>
          </w:p>
        </w:tc>
        <w:tc>
          <w:tcPr>
            <w:tcW w:type="dxa" w:w="2878"/>
          </w:tcPr>
          <w:p>
            <w:pPr>
              <w:pStyle w:val="Compact"/>
              <w:jc w:val="left"/>
            </w:pPr>
            <w:r>
              <w:rPr>
                <w:sz w:val="15"/>
              </w:rPr>
              <w:t xml:space="preserve">Common firm-scale boundary for all activities in the Act (Philippines); activity tiers that name AI and data centres</w:t>
            </w:r>
          </w:p>
        </w:tc>
        <w:tc>
          <w:tcPr>
            <w:tcW w:type="dxa" w:w="2015"/>
          </w:tcPr>
          <w:p>
            <w:pPr>
              <w:pStyle w:val="Compact"/>
              <w:jc w:val="left"/>
            </w:pPr>
            <w:r>
              <w:rPr>
                <w:sz w:val="15"/>
              </w:rPr>
              <w:t xml:space="preserve">U (P1a,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E (P3a) for the boundary; U for the tiers, which name AI</w:t>
            </w:r>
          </w:p>
        </w:tc>
        <w:tc>
          <w:tcPr>
            <w:tcW w:type="dxa" w:w="2418"/>
          </w:tcPr>
          <w:p>
            <w:pPr>
              <w:pStyle w:val="Compact"/>
              <w:jc w:val="left"/>
            </w:pPr>
            <w:r>
              <w:rPr>
                <w:sz w:val="15"/>
              </w:rPr>
              <w:t xml:space="preserve">H3 against H1: Weak to Moderate; Act, implementing rules and Plan read</w:t>
            </w:r>
          </w:p>
        </w:tc>
        <w:tc>
          <w:tcPr>
            <w:tcW w:type="dxa" w:w="2763"/>
          </w:tcPr>
          <w:p>
            <w:pPr>
              <w:pStyle w:val="Compact"/>
              <w:jc w:val="left"/>
            </w:pPr>
            <w:r>
              <w:rPr>
                <w:sz w:val="15"/>
              </w:rPr>
              <w:t xml:space="preserve">Pre-AI instruments with the same boundary; Plan guidelines</w:t>
            </w:r>
          </w:p>
        </w:tc>
      </w:tr>
      <w:tr>
        <w:tc>
          <w:tcPr>
            <w:tcW w:type="dxa" w:w="748"/>
          </w:tcPr>
          <w:p>
            <w:pPr>
              <w:pStyle w:val="Compact"/>
              <w:jc w:val="left"/>
            </w:pPr>
            <w:r>
              <w:rPr>
                <w:sz w:val="15"/>
              </w:rPr>
              <w:t xml:space="preserve">E8</w:t>
            </w:r>
          </w:p>
        </w:tc>
        <w:tc>
          <w:tcPr>
            <w:tcW w:type="dxa" w:w="2878"/>
          </w:tcPr>
          <w:p>
            <w:pPr>
              <w:pStyle w:val="Compact"/>
              <w:jc w:val="left"/>
            </w:pPr>
            <w:r>
              <w:rPr>
                <w:sz w:val="15"/>
              </w:rPr>
              <w:t xml:space="preserve">Explicit startup track with direct support and recognition by the provincial authority (Vietnam; verified against Decree 260/2026, Article 11)</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U (P2c)</w:t>
            </w:r>
          </w:p>
        </w:tc>
        <w:tc>
          <w:tcPr>
            <w:tcW w:type="dxa" w:w="2187"/>
          </w:tcPr>
          <w:p>
            <w:pPr>
              <w:pStyle w:val="Compact"/>
              <w:jc w:val="left"/>
            </w:pPr>
            <w:r>
              <w:rPr>
                <w:sz w:val="15"/>
              </w:rPr>
              <w:t xml:space="preserve">U (P3a; a 2026 design with no scale tiers)</w:t>
            </w:r>
          </w:p>
        </w:tc>
        <w:tc>
          <w:tcPr>
            <w:tcW w:type="dxa" w:w="2418"/>
          </w:tcPr>
          <w:p>
            <w:pPr>
              <w:pStyle w:val="Compact"/>
              <w:jc w:val="left"/>
            </w:pPr>
            <w:r>
              <w:rPr>
                <w:sz w:val="15"/>
              </w:rPr>
              <w:t xml:space="preserve">All three unexpected: no pair separated</w:t>
            </w:r>
          </w:p>
        </w:tc>
        <w:tc>
          <w:tcPr>
            <w:tcW w:type="dxa" w:w="2763"/>
          </w:tcPr>
          <w:p>
            <w:pPr>
              <w:pStyle w:val="Compact"/>
              <w:jc w:val="left"/>
            </w:pPr>
            <w:r>
              <w:rPr>
                <w:sz w:val="15"/>
              </w:rPr>
              <w:t xml:space="preserve">Take-up evidence</w:t>
            </w:r>
          </w:p>
        </w:tc>
      </w:tr>
      <w:tr>
        <w:tc>
          <w:tcPr>
            <w:tcW w:type="dxa" w:w="748"/>
          </w:tcPr>
          <w:p>
            <w:pPr>
              <w:pStyle w:val="Compact"/>
              <w:jc w:val="left"/>
            </w:pPr>
            <w:r>
              <w:rPr>
                <w:sz w:val="15"/>
              </w:rPr>
              <w:t xml:space="preserve">E9</w:t>
            </w:r>
          </w:p>
        </w:tc>
        <w:tc>
          <w:tcPr>
            <w:tcW w:type="dxa" w:w="2878"/>
          </w:tcPr>
          <w:p>
            <w:pPr>
              <w:pStyle w:val="Compact"/>
              <w:jc w:val="left"/>
            </w:pPr>
            <w:r>
              <w:rPr>
                <w:sz w:val="15"/>
              </w:rPr>
              <w:t xml:space="preserve">Official criticism of data-centre incentives on employment grounds (Malaysia)</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Evidence on whether the criticism cited firm size</w:t>
            </w:r>
          </w:p>
        </w:tc>
      </w:tr>
      <w:tr>
        <w:tc>
          <w:tcPr>
            <w:tcW w:type="dxa" w:w="748"/>
          </w:tcPr>
          <w:p>
            <w:pPr>
              <w:pStyle w:val="Compact"/>
              <w:jc w:val="left"/>
            </w:pPr>
            <w:r>
              <w:rPr>
                <w:sz w:val="15"/>
              </w:rPr>
              <w:t xml:space="preserve">E10</w:t>
            </w:r>
          </w:p>
        </w:tc>
        <w:tc>
          <w:tcPr>
            <w:tcW w:type="dxa" w:w="2878"/>
          </w:tcPr>
          <w:p>
            <w:pPr>
              <w:pStyle w:val="Compact"/>
              <w:jc w:val="left"/>
            </w:pPr>
            <w:r>
              <w:rPr>
                <w:sz w:val="15"/>
              </w:rPr>
              <w:t xml:space="preserve">Thai-held share of capital falls with depth (46, 15, 0 per cent; Thailand)</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 descriptive; three points</w:t>
            </w:r>
          </w:p>
        </w:tc>
        <w:tc>
          <w:tcPr>
            <w:tcW w:type="dxa" w:w="2763"/>
          </w:tcPr>
          <w:p>
            <w:pPr>
              <w:pStyle w:val="Compact"/>
              <w:jc w:val="left"/>
            </w:pPr>
            <w:r>
              <w:rPr>
                <w:sz w:val="15"/>
              </w:rPr>
              <w:t xml:space="preserve">Project-level data</w:t>
            </w:r>
          </w:p>
        </w:tc>
      </w:tr>
      <w:tr>
        <w:tc>
          <w:tcPr>
            <w:tcW w:type="dxa" w:w="748"/>
          </w:tcPr>
          <w:p>
            <w:pPr>
              <w:pStyle w:val="Compact"/>
              <w:jc w:val="left"/>
            </w:pPr>
            <w:r>
              <w:rPr>
                <w:sz w:val="15"/>
              </w:rPr>
              <w:t xml:space="preserve">E11</w:t>
            </w:r>
          </w:p>
        </w:tc>
        <w:tc>
          <w:tcPr>
            <w:tcW w:type="dxa" w:w="2878"/>
          </w:tcPr>
          <w:p>
            <w:pPr>
              <w:pStyle w:val="Compact"/>
              <w:jc w:val="left"/>
            </w:pPr>
            <w:r>
              <w:rPr>
                <w:sz w:val="15"/>
              </w:rPr>
              <w:t xml:space="preserve">Low-capital cloud routes screened by fixed compliance costs: Thai cloud services (certification, two certified data centres) and the Malaysian Digital track (annual audit)</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verified against the guides, cost size unmeasured</w:t>
            </w:r>
          </w:p>
        </w:tc>
        <w:tc>
          <w:tcPr>
            <w:tcW w:type="dxa" w:w="2763"/>
          </w:tcPr>
          <w:p>
            <w:pPr>
              <w:pStyle w:val="Compact"/>
              <w:jc w:val="left"/>
            </w:pPr>
            <w:r>
              <w:rPr>
                <w:sz w:val="15"/>
              </w:rPr>
              <w:t xml:space="preserve">Cost of certification and audit relative to a small provider’s capital</w:t>
            </w:r>
          </w:p>
        </w:tc>
      </w:tr>
      <w:tr>
        <w:tc>
          <w:tcPr>
            <w:tcW w:type="dxa" w:w="748"/>
          </w:tcPr>
          <w:p>
            <w:pPr>
              <w:pStyle w:val="Compact"/>
              <w:jc w:val="left"/>
            </w:pPr>
            <w:r>
              <w:rPr>
                <w:sz w:val="15"/>
              </w:rPr>
              <w:t xml:space="preserve">E12</w:t>
            </w:r>
          </w:p>
        </w:tc>
        <w:tc>
          <w:tcPr>
            <w:tcW w:type="dxa" w:w="2878"/>
          </w:tcPr>
          <w:p>
            <w:pPr>
              <w:pStyle w:val="Compact"/>
              <w:jc w:val="left"/>
            </w:pPr>
            <w:r>
              <w:rPr>
                <w:sz w:val="15"/>
              </w:rPr>
              <w:t xml:space="preserve">Required research ratio falls as total capital rises (VND 100 billion and 6,000 billion tiers) in high-technology enterprise criteria (Vietnam; verified)</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applies to enterprise recognition, not to compute provision</w:t>
            </w:r>
          </w:p>
        </w:tc>
        <w:tc>
          <w:tcPr>
            <w:tcW w:type="dxa" w:w="2763"/>
          </w:tcPr>
          <w:p>
            <w:pPr>
              <w:pStyle w:val="Compact"/>
              <w:jc w:val="left"/>
            </w:pPr>
            <w:r>
              <w:rPr>
                <w:sz w:val="15"/>
              </w:rP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2.4 and the rubric of Section 3.3 of the manuscript. Rows resting on unverified coding are provisional.</w:t>
      </w:r>
    </w:p>
    <w:bookmarkEnd w:id="28"/>
    <w:bookmarkStart w:id="29" w:name="X85004c227c6a131437c0397ef19b5831bb8be07"/>
    <w:p>
      <w:pPr>
        <w:pStyle w:val="Heading2"/>
      </w:pPr>
      <w:r>
        <w:t xml:space="preserve">Table S4. Illustrative eligibility ladder calibrated to cost benchmarks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Rung</w:t>
            </w:r>
          </w:p>
        </w:tc>
        <w:tc>
          <w:tcPr>
            <w:tcW w:type="dxa" w:w="2862"/>
          </w:tcPr>
          <w:p>
            <w:pPr>
              <w:pStyle w:val="Compact"/>
              <w:jc w:val="left"/>
            </w:pPr>
            <w:r>
              <w:rPr>
                <w:b/>
                <w:sz w:val="15"/>
              </w:rPr>
              <w:t xml:space="preserve">Capacity</w:t>
            </w:r>
          </w:p>
        </w:tc>
        <w:tc>
          <w:tcPr>
            <w:tcW w:type="dxa" w:w="3577"/>
          </w:tcPr>
          <w:p>
            <w:pPr>
              <w:pStyle w:val="Compact"/>
              <w:jc w:val="left"/>
            </w:pPr>
            <w:r>
              <w:rPr>
                <w:b/>
                <w:sz w:val="15"/>
              </w:rPr>
              <w:t xml:space="preserve">Capital to host: construction only to fully equipped (US$ million)</w:t>
            </w:r>
          </w:p>
        </w:tc>
        <w:tc>
          <w:tcPr>
            <w:tcW w:type="dxa" w:w="4292"/>
          </w:tcPr>
          <w:p>
            <w:pPr>
              <w:pStyle w:val="Compact"/>
              <w:jc w:val="left"/>
            </w:pPr>
            <w:r>
              <w:rPr>
                <w:b/>
                <w:sz w:val="15"/>
              </w:rPr>
              <w:t xml:space="preserve">Instrument type that may suit the rung</w:t>
            </w:r>
          </w:p>
        </w:tc>
        <w:tc>
          <w:tcPr>
            <w:tcW w:type="dxa" w:w="3577"/>
          </w:tcPr>
          <w:p>
            <w:pPr>
              <w:pStyle w:val="Compact"/>
              <w:jc w:val="left"/>
            </w:pPr>
            <w:r>
              <w:rPr>
                <w:b/>
                <w:sz w:val="15"/>
              </w:rPr>
              <w:t xml:space="preserve">Reason</w:t>
            </w:r>
          </w:p>
        </w:tc>
      </w:tr>
      <w:tr>
        <w:tc>
          <w:tcPr>
            <w:tcW w:type="dxa" w:w="715"/>
          </w:tcPr>
          <w:p>
            <w:pPr>
              <w:pStyle w:val="Compact"/>
              <w:jc w:val="left"/>
            </w:pPr>
            <w:r>
              <w:rPr>
                <w:sz w:val="15"/>
              </w:rPr>
              <w:t xml:space="preserve">0</w:t>
            </w:r>
          </w:p>
        </w:tc>
        <w:tc>
          <w:tcPr>
            <w:tcW w:type="dxa" w:w="2862"/>
          </w:tcPr>
          <w:p>
            <w:pPr>
              <w:pStyle w:val="Compact"/>
              <w:jc w:val="left"/>
            </w:pPr>
            <w:r>
              <w:rPr>
                <w:sz w:val="15"/>
              </w:rPr>
              <w:t xml:space="preserve">One eight-accelerator server (12 kW)</w:t>
            </w:r>
          </w:p>
        </w:tc>
        <w:tc>
          <w:tcPr>
            <w:tcW w:type="dxa" w:w="3577"/>
          </w:tcPr>
          <w:p>
            <w:pPr>
              <w:pStyle w:val="Compact"/>
              <w:jc w:val="left"/>
            </w:pPr>
            <w:r>
              <w:rPr>
                <w:sz w:val="15"/>
              </w:rPr>
              <w:t xml:space="preserve">0.13 to 0.46</w:t>
            </w:r>
          </w:p>
        </w:tc>
        <w:tc>
          <w:tcPr>
            <w:tcW w:type="dxa" w:w="4292"/>
          </w:tcPr>
          <w:p>
            <w:pPr>
              <w:pStyle w:val="Compact"/>
              <w:jc w:val="left"/>
            </w:pPr>
            <w:r>
              <w:rPr>
                <w:sz w:val="15"/>
              </w:rPr>
              <w:t xml:space="preserve">Direct: compute vouchers for users, matching grants for small providers</w:t>
            </w:r>
          </w:p>
        </w:tc>
        <w:tc>
          <w:tcPr>
            <w:tcW w:type="dxa" w:w="3577"/>
          </w:tcPr>
          <w:p>
            <w:pPr>
              <w:pStyle w:val="Compact"/>
              <w:jc w:val="left"/>
            </w:pPr>
            <w:r>
              <w:rPr>
                <w:sz w:val="15"/>
              </w:rPr>
              <w:t xml:space="preserve">Tax relief presupposes taxable profit, which a new provider lacks</w:t>
            </w:r>
          </w:p>
        </w:tc>
      </w:tr>
      <w:tr>
        <w:tc>
          <w:tcPr>
            <w:tcW w:type="dxa" w:w="715"/>
          </w:tcPr>
          <w:p>
            <w:pPr>
              <w:pStyle w:val="Compact"/>
              <w:jc w:val="left"/>
            </w:pPr>
            <w:r>
              <w:rPr>
                <w:sz w:val="15"/>
              </w:rPr>
              <w:t xml:space="preserve">1</w:t>
            </w:r>
          </w:p>
        </w:tc>
        <w:tc>
          <w:tcPr>
            <w:tcW w:type="dxa" w:w="2862"/>
          </w:tcPr>
          <w:p>
            <w:pPr>
              <w:pStyle w:val="Compact"/>
              <w:jc w:val="left"/>
            </w:pPr>
            <w:r>
              <w:rPr>
                <w:sz w:val="15"/>
              </w:rPr>
              <w:t xml:space="preserve">100 kW (about eight servers)</w:t>
            </w:r>
          </w:p>
        </w:tc>
        <w:tc>
          <w:tcPr>
            <w:tcW w:type="dxa" w:w="3577"/>
          </w:tcPr>
          <w:p>
            <w:pPr>
              <w:pStyle w:val="Compact"/>
              <w:jc w:val="left"/>
            </w:pPr>
            <w:r>
              <w:rPr>
                <w:sz w:val="15"/>
              </w:rPr>
              <w:t xml:space="preserve">1.1 to 3.8</w:t>
            </w:r>
          </w:p>
        </w:tc>
        <w:tc>
          <w:tcPr>
            <w:tcW w:type="dxa" w:w="4292"/>
          </w:tcPr>
          <w:p>
            <w:pPr>
              <w:pStyle w:val="Compact"/>
              <w:jc w:val="left"/>
            </w:pPr>
            <w:r>
              <w:rPr>
                <w:sz w:val="15"/>
              </w:rPr>
              <w:t xml:space="preserve">Direct or refundable credit; simple eligibility test</w:t>
            </w:r>
          </w:p>
        </w:tc>
        <w:tc>
          <w:tcPr>
            <w:tcW w:type="dxa" w:w="3577"/>
          </w:tcPr>
          <w:p>
            <w:pPr>
              <w:pStyle w:val="Compact"/>
              <w:jc w:val="left"/>
            </w:pPr>
            <w:r>
              <w:rPr>
                <w:sz w:val="15"/>
              </w:rPr>
              <w:t xml:space="preserve">Allows many small trials before any scale up (Hausmann and Rodrik, 2003)</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1 MW</w:t>
            </w:r>
          </w:p>
        </w:tc>
        <w:tc>
          <w:tcPr>
            <w:tcW w:type="dxa" w:w="3577"/>
          </w:tcPr>
          <w:p>
            <w:pPr>
              <w:pStyle w:val="Compact"/>
              <w:jc w:val="left"/>
            </w:pPr>
            <w:r>
              <w:rPr>
                <w:sz w:val="15"/>
              </w:rPr>
              <w:t xml:space="preserve">10.7 to 38</w:t>
            </w:r>
          </w:p>
        </w:tc>
        <w:tc>
          <w:tcPr>
            <w:tcW w:type="dxa" w:w="4292"/>
          </w:tcPr>
          <w:p>
            <w:pPr>
              <w:pStyle w:val="Compact"/>
              <w:jc w:val="left"/>
            </w:pPr>
            <w:r>
              <w:rPr>
                <w:sz w:val="15"/>
              </w:rPr>
              <w:t xml:space="preserve">Milestone-based tax incentive with compliance proportional to size</w:t>
            </w:r>
          </w:p>
        </w:tc>
        <w:tc>
          <w:tcPr>
            <w:tcW w:type="dxa" w:w="3577"/>
          </w:tcPr>
          <w:p>
            <w:pPr>
              <w:pStyle w:val="Compact"/>
              <w:jc w:val="left"/>
            </w:pPr>
            <w:r>
              <w:rPr>
                <w:sz w:val="15"/>
              </w:rPr>
              <w:t xml:space="preserve">Avoids the fixed audit cost that weighs on the smallest firms (Section 4.3)</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10 MW</w:t>
            </w:r>
          </w:p>
        </w:tc>
        <w:tc>
          <w:tcPr>
            <w:tcW w:type="dxa" w:w="3577"/>
          </w:tcPr>
          <w:p>
            <w:pPr>
              <w:pStyle w:val="Compact"/>
              <w:jc w:val="left"/>
            </w:pPr>
            <w:r>
              <w:rPr>
                <w:sz w:val="15"/>
              </w:rPr>
              <w:t xml:space="preserve">107 to 380</w:t>
            </w:r>
          </w:p>
        </w:tc>
        <w:tc>
          <w:tcPr>
            <w:tcW w:type="dxa" w:w="4292"/>
          </w:tcPr>
          <w:p>
            <w:pPr>
              <w:pStyle w:val="Compact"/>
              <w:jc w:val="left"/>
            </w:pPr>
            <w:r>
              <w:rPr>
                <w:sz w:val="15"/>
              </w:rPr>
              <w:t xml:space="preserve">Existing facility-scale tax incentive</w:t>
            </w:r>
          </w:p>
        </w:tc>
        <w:tc>
          <w:tcPr>
            <w:tcW w:type="dxa" w:w="3577"/>
          </w:tcPr>
          <w:p>
            <w:pPr>
              <w:pStyle w:val="Compact"/>
              <w:jc w:val="left"/>
            </w:pPr>
            <w:r>
              <w:rPr>
                <w:sz w:val="15"/>
              </w:rPr>
              <w:t xml:space="preserve">Comparable to Thailand’s threshold (about 13 MW on construction cost)</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40 MW</w:t>
            </w:r>
          </w:p>
        </w:tc>
        <w:tc>
          <w:tcPr>
            <w:tcW w:type="dxa" w:w="3577"/>
          </w:tcPr>
          <w:p>
            <w:pPr>
              <w:pStyle w:val="Compact"/>
              <w:jc w:val="left"/>
            </w:pPr>
            <w:r>
              <w:rPr>
                <w:sz w:val="15"/>
              </w:rPr>
              <w:t xml:space="preserve">428 to 1,520</w:t>
            </w:r>
          </w:p>
        </w:tc>
        <w:tc>
          <w:tcPr>
            <w:tcW w:type="dxa" w:w="4292"/>
          </w:tcPr>
          <w:p>
            <w:pPr>
              <w:pStyle w:val="Compact"/>
              <w:jc w:val="left"/>
            </w:pPr>
            <w:r>
              <w:rPr>
                <w:sz w:val="15"/>
              </w:rPr>
              <w:t xml:space="preserve">Existing facility-scale incentive and negotiated packages</w:t>
            </w:r>
          </w:p>
        </w:tc>
        <w:tc>
          <w:tcPr>
            <w:tcW w:type="dxa" w:w="3577"/>
          </w:tcPr>
          <w:p>
            <w:pPr>
              <w:pStyle w:val="Compact"/>
              <w:jc w:val="left"/>
            </w:pPr>
            <w:r>
              <w:rPr>
                <w:sz w:val="15"/>
              </w:rP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 [citation to be added]. Figures are products of these benchmarks, not estimates of this paper.</w:t>
      </w:r>
    </w:p>
    <w:bookmarkEnd w:id="29"/>
    <w:bookmarkStart w:id="30"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30"/>
    <w:bookmarkStart w:id="31" w:name="codebook"/>
    <w:p>
      <w:pPr>
        <w:pStyle w:val="Heading2"/>
      </w:pPr>
      <w:r>
        <w:t xml:space="preserve">Codebook</w:t>
      </w:r>
    </w:p>
    <w:p>
      <w:pPr>
        <w:pStyle w:val="FirstParagraph"/>
      </w:pPr>
      <w:r>
        <w:t xml:space="preserve">The coding rules applied are these.</w:t>
      </w:r>
    </w:p>
    <w:p>
      <w:pPr>
        <w:pStyle w:val="BodyText"/>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p>
      <w:pPr>
        <w:pStyle w:val="BodyText"/>
      </w:pPr>
      <w:r>
        <w:t xml:space="preserve">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3, 5, 6, 18, 19, 20, 25 and 26 apply beyond AI. They are kept so that the rules that govern an AI firm can be separated from rules written for AI.</w:t>
      </w:r>
    </w:p>
    <w:bookmarkEnd w:id="31"/>
    <w:bookmarkStart w:id="32"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Not yet done. A second coder will code all 29 instruments independently from the blind sheet, using the codebook, and the manuscript will report percentage agreement, Cohen’s kappa per dimension and Krippendorff’s alpha. Each resolved disagreement is to be logged.</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32"/>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2026-10-09T04:08:55Z</dcterms:created>
  <dcterms:modified xsi:type="dcterms:W3CDTF">2026-10-09T04:08:55Z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