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primary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four make application-layer support accessible to small firms. At the compute layers, Thailand’s gates for GPU hosting and data centres lie roughly two to three orders of magnitude above the capital needed to host one server, and Malaysia’s data-centre track starts at 0.85 MW. Where small cloud providers can enter on paper, the screen is a fixed compliance cost. Vietnam and the Philippines state no capital rule. No instrument is aimed at compute provision below facility scale. Cost explains the height of Thailand’s gate but not the pattern across countries.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Thailand, Vietnam, Malaysia and the Philippines have each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which a software-versus-hardware split cannot do. It classifies the four systems into four incentive architectures and states what each implies for a small entrant. It places explicit thresholds on a common cost scale and measures the distance between the smallest viable and the smallest eligible provider, a quantity that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located slowdowns near US$10,000 to 11,000 and US$15,000 to 16,000 per capita and attributed them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Gros, Mengel, Presidente and Tirole (2024) argue that the European Union over-invests in mature mid-technology sectors. Bahar, Gadgin Matha, Hausmann and Segovia (2026) apply the idea to Japan, where research intensity is near the top of the OECD but productivity growth has been flat since 2000, because more than half of private research spending goes to mature industries. They attribute this to incentives delivered through indirect tax credits, which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in domains where knowledge becomes obsolete quickly, and AI plausibly fits. The sceptical reading holds that AI favours economies that already hold digital infrastructure, data and skilled labour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that determine it. The compute-geography work measures where capacity sits, not which policies shape whether domestic firms can supply it.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is a claim about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H2 and H3 can generate similar outcomes and differ mainly in origin, so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that laissez-faire yields too little investment in new activities. We apply this to compute supply, as our own proposition and not a result they report.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that have AI-related investment incentives in force, publish consolidated primary legal texts we can access, and differ in income trajectory. The</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reached upper-middle-income status only in July 2026. The Philippines crossed the same threshold on the same date but has a documented trap history at a lower income band. We do not classify any country as middle-technology trapped. [AUTHORS TO COMPLETE: reason for excluding Indonesia, which belongs to the ASEAN Four in Ke (2024); a reader will ask whether it was dropped because it did not fit (Seawright and Gerring, 2008).]</w:t>
      </w:r>
    </w:p>
    <w:p>
      <w:pPr>
        <w:pStyle w:val="BodyText"/>
      </w:pPr>
      <w:r>
        <w:t xml:space="preserve">Thailand is the primary case because it alone publishes approval statistics by sub-activity and ownership of registered capital, so rules can be compared with outcomes. Vietnam, Malaysia and the Philippines are shadow cases coded on the same dimensions from legal texts. Four purposively chosen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eight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 without a data-derived basis.</w:t>
      </w:r>
    </w:p>
    <w:p>
      <w:pPr>
        <w:pStyle w:val="BodyText"/>
      </w:pPr>
      <w:r>
        <w:t xml:space="preserve">All rows were coded and checked against the primary texts by one author. [AUTHORS TO COMPLETE: a second coder re-coded all 29 instruments blind to the first; report percentage agreement, Cohen’s (1960) kappa per dimension and disagreements resolved.] The Vietnamese texts were read through a commercial legal database, not the official gazette. The Thai originals, the Vietnamese implementing circulars and the SIPP qualification guidelines have not been 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the smallest viable unit of provision to be one eight-accelerator server of about 12 kW [CITATION: vendor specification], which needs US$0.13 million to US$0.46 million of capital to host. The rung distance of an instrument is the base-10 logarithm of its threshold over that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the weight depends on A1 or on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and pre-AI sector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Whether a small GPU provider would be classed under 8.2.2 or 8.2.4.1 is a question for BOI. A cross-sectoral competitiveness measure extends the exemption to a maximum of 13 years where spending reaches 1 per cent of sales (or THB 200 million, if lower) in the first three years. It is proportional to sales, so a small firm can use it, but it presupposes sales, and it is a generic template.</w:t>
      </w:r>
    </w:p>
    <w:p>
      <w:pPr>
        <w:pStyle w:val="BodyText"/>
      </w:pPr>
      <w:r>
        <w:t xml:space="preserve">Approvals are consistent with the rules. 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and development on technologies listed by the Prime Minister, and includes state funding of tasks up to 100 per cent, duty exemption, cost deductions and interest support through the National Technology Innovation Fund. The research-centre track demands at least 60 per cent of workers in research and development and spending of at least 65 per cent of operating expenditure, which restricts it to purpose-built institutions. The startup track requires research on listed technology and either average revenue growth of at least 20 per cent over two years or a commercialisation-ready solution, and offers fee exemptions, controlled testing and priority for venture-fund equity (Article 11). It is the clearest explicit accommodation for new firms in our data, and most of it is direct support. High-technology enterprise criteria carry research-intensity ratios that fall as total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appointed at its own cost. This is a largely fixed cost that weighs more on a small firm, and it works through a different channel from the profit-presupposing credits Bahar et al. (2026) identify.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local vendor programmes cover cooling and power systems, and the allowance applies to capital investment, which a firm that leases space largely lacks. The New Incentive Framework is moving incentives towards outcome-based tiers, but existing packages including DESAC remain available until their windows expire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financial statements where applicable and projections without incentives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the compute layers,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Group 1 listed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Delivery</w:t>
            </w:r>
          </w:p>
        </w:tc>
        <w:tc>
          <w:tcPr/>
          <w:p>
            <w:pPr>
              <w:pStyle w:val="Compact"/>
              <w:jc w:val="left"/>
            </w:pPr>
            <w:r>
              <w:rPr>
                <w:sz w:val="17"/>
              </w:rPr>
              <w:t xml:space="preserve">Indirect</w:t>
            </w:r>
          </w:p>
        </w:tc>
        <w:tc>
          <w:tcPr/>
          <w:p>
            <w:pPr>
              <w:pStyle w:val="Compact"/>
              <w:jc w:val="left"/>
            </w:pPr>
            <w:r>
              <w:rPr>
                <w:sz w:val="17"/>
              </w:rPr>
              <w:t xml:space="preserve">Direct and indirect</w:t>
            </w:r>
          </w:p>
        </w:tc>
        <w:tc>
          <w:tcPr/>
          <w:p>
            <w:pPr>
              <w:pStyle w:val="Compact"/>
              <w:jc w:val="left"/>
            </w:pPr>
            <w:r>
              <w:rPr>
                <w:sz w:val="17"/>
              </w:rPr>
              <w:t xml:space="preserve">Indirect</w:t>
            </w:r>
          </w:p>
        </w:tc>
        <w:tc>
          <w:tcPr/>
          <w:p>
            <w:pPr>
              <w:pStyle w:val="Compact"/>
              <w:jc w:val="left"/>
            </w:pPr>
            <w:r>
              <w:rPr>
                <w:sz w:val="17"/>
              </w:rPr>
              <w:t xml:space="preserve">Indirect</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On</w:t>
      </w:r>
      <w:r>
        <w:t xml:space="preserve"> </w:t>
      </w:r>
      <w:r>
        <w:rPr>
          <w:bCs/>
          <w:b/>
        </w:rPr>
        <w:t xml:space="preserve">layer</w:t>
      </w:r>
      <w:r>
        <w:t xml:space="preserve">, Thailand screens at the infrastructure activity, Malaysia runs a low-capital digital track beside a data-centre track, Vietnam has no capital screen, and the Philippines tiers activities with one firm-scale boundary. On</w:t>
      </w:r>
      <w:r>
        <w:t xml:space="preserve"> </w:t>
      </w:r>
      <w:r>
        <w:rPr>
          <w:bCs/>
          <w:b/>
        </w:rPr>
        <w:t xml:space="preserve">scale</w:t>
      </w:r>
      <w:r>
        <w:t xml:space="preserve">, entry thresholds at layer (i) are low or absent. At the compute layers the stated figures have three bases (company capital, project scale and cumulative spending), so we read them as orders of magnitude. On</w:t>
      </w:r>
      <w:r>
        <w:t xml:space="preserve"> </w:t>
      </w:r>
      <w:r>
        <w:rPr>
          <w:bCs/>
          <w:b/>
        </w:rPr>
        <w:t xml:space="preserve">vintage</w:t>
      </w:r>
      <w:r>
        <w:t xml:space="preserve">, only Vietnam has an explicit startup track, Thailand’s deepest tier presupposes sales, and the Philippine escalation tier presupposes scale. On</w:t>
      </w:r>
      <w:r>
        <w:t xml:space="preserve"> </w:t>
      </w:r>
      <w:r>
        <w:rPr>
          <w:bCs/>
          <w:b/>
        </w:rPr>
        <w:t xml:space="preserve">delivery</w:t>
      </w:r>
      <w:r>
        <w:t xml:space="preserve">, three countries use tax-based instruments that presuppose profit, while Vietnam adds direct support.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route exists for cloud,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Rung distance (orders of magnitude)</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Rung distance is log10 of the threshold over US$0.13m to US$0.46m, the capital to host one eight-accelerator server on the two benchmarks. Malaysia’s paid-up capital floors measure company capital and are not placed on the scale. The Philippine figures are a routing boundary and a package condition, not entry rules. Bases differ, so rows are indicative.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In Malaysia the data-centre track starts 1.3 to 2.4 orders above one server while the Digital track admits cloud at RM50,000. Vietnam and the Philippines state no capital threshold at the compute layers. In the two countries with a low-capital cloud route,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GPU rental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in both countries.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Thailand’s gates are 1.7 to 3.0 orders of magnitude above one server. Whether that distance is a cost constraint depends on A1, whether a viable provider exists at that scale. A server can be hosted in colocation space, but hosting is not running a viable provider. We have not tested A1, which would need rental prices of regional GPU providers, colocation prices and tariffs to compute a small provider’s break-even utilisation. If viability requires scale, A1 fails and H1 explains the absence. If small providers can compete, the absence is a design outcome and proposition M applies to Thai GPU hosting and data centres.</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That does not show capture of the market or the incentive system, which would need evidence of restricted entry or discriminatory support of the kind Doner and Schneider (2016) discuss,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E1</w:t>
            </w:r>
          </w:p>
        </w:tc>
        <w:tc>
          <w:tcPr/>
          <w:p>
            <w:pPr>
              <w:pStyle w:val="Compact"/>
              <w:jc w:val="left"/>
            </w:pPr>
            <w:r>
              <w:rPr>
                <w:sz w:val="17"/>
              </w:rPr>
              <w:t xml:space="preserve">Software threshold far below GPU-hosting capital condition (Thailand)</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None, weak</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moderate, conditional on A1</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design features that cost cannot generate: a sales-based extension (E5), fixed certification and audit costs (E6) and research ratios that fall with firm size.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and Malaysia is no longer a counter-example. The claim that rungs are missing in Thailand depends on A1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compute prices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We find that Thailand’s deepest tier presupposes sales and that three of four countries deliver the accessible tier through indirect instruments, while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three propositions for other countries.</w:t>
      </w:r>
      <w:r>
        <w:t xml:space="preserve"> </w:t>
      </w:r>
      <w:r>
        <w:rPr>
          <w:bCs/>
          <w:b/>
        </w:rPr>
        <w:t xml:space="preserve">PA1:</w:t>
      </w:r>
      <w:r>
        <w:t xml:space="preserve"> </w:t>
      </w:r>
      <w:r>
        <w:t xml:space="preserve">capital gates screen on capital stock,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a separate low-capital track covers the same activity.</w:t>
      </w:r>
      <w:r>
        <w:t xml:space="preserve"> </w:t>
      </w:r>
      <w:r>
        <w:rPr>
          <w:bCs/>
          <w:b/>
        </w:rPr>
        <w:t xml:space="preserve">PA3:</w:t>
      </w:r>
      <w:r>
        <w:t xml:space="preserve"> </w:t>
      </w:r>
      <w:r>
        <w:t xml:space="preserve">where an instrument type is inherited from generic schemes, the same tiers appear across activities.</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generic cloud routes admit them subject to certification and audit costs.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rungs near one server may suit direct support or refundable credits, and rungs near one megawatt milestone-based incentives with compliance proportional to size (Table S4 calibrates an illustrative ladder). Vietnam’s startup track is an application-layer pathway keyed to technical criteria, not capital. Risks include subsidising resale of foreign-owned capacity and fiscal leakage. We have not costed any option, and a small,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Thailand’s research tier and Malaysia’s audited declaration are examples. Verification in proportion to firm size could lower the fixed cost, if the audit cost proves material.</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not left as a by-product of where thresholds fall. Because we cannot separate this from rational specialisation, evidence on domestic compute prices and the growth of small providers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coding was done and checked by one author against English or database texts, the amendment check is incomplete, and the Thai originals, Vietnamese circulars and SIPP guidelines are unread, so findings that depend on a threshold or classification are provisional. Third, the central claim depends on A1, which we have not tested,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vouchers and sovereign initiatives may fill part of the gap. Sixth, only Thailand publishes approval data by sub-activity and ownership, and its ownership gradient rests on three points. Seventh, the four cases are purposively selected and ordinal process-tracing ratings cannot separate H2 from H3 or establish causation. Finally, the target is moving: Vietnam’s AI-specific regulation is still developing and Malaysia is phasing in a New Incentive Framework.</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explains the height of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test viability at small scale, code the general schemes, and link rules to firm-level take-up.</w:t>
      </w:r>
    </w:p>
    <w:bookmarkEnd w:id="47"/>
    <w:bookmarkStart w:id="48" w:name="acknowledgments"/>
    <w:p>
      <w:pPr>
        <w:pStyle w:val="Heading2"/>
      </w:pPr>
      <w:r>
        <w:t xml:space="preserve">Acknowledgments</w:t>
      </w:r>
    </w:p>
    <w:p>
      <w:pPr>
        <w:pStyle w:val="FirstParagraph"/>
      </w:pPr>
      <w:r>
        <w:t xml:space="preserve">[AUTHORS TO COMPLETE.]</w:t>
      </w:r>
    </w:p>
    <w:bookmarkEnd w:id="48"/>
    <w:bookmarkStart w:id="49" w:name="declaration-of-interest-statement"/>
    <w:p>
      <w:pPr>
        <w:pStyle w:val="Heading2"/>
      </w:pPr>
      <w:r>
        <w:t xml:space="preserve">Declaration of interest statement</w:t>
      </w:r>
    </w:p>
    <w:p>
      <w:pPr>
        <w:pStyle w:val="FirstParagraph"/>
      </w:pPr>
      <w:r>
        <w:t xml:space="preserve">[AUTHORS TO COMPLETE: the authors report no conflict of interest, or state any.]</w:t>
      </w:r>
    </w:p>
    <w:bookmarkEnd w:id="49"/>
    <w:bookmarkStart w:id="50" w:name="funding"/>
    <w:p>
      <w:pPr>
        <w:pStyle w:val="Heading2"/>
      </w:pPr>
      <w:r>
        <w:t xml:space="preserve">Funding</w:t>
      </w:r>
    </w:p>
    <w:p>
      <w:pPr>
        <w:pStyle w:val="FirstParagraph"/>
      </w:pPr>
      <w:r>
        <w:t xml:space="preserve">[AUTHORS TO COMPLETE: funding details, or</w:t>
      </w:r>
      <w:r>
        <w:t xml:space="preserve"> </w:t>
      </w:r>
      <w:r>
        <w:t xml:space="preserve">“</w:t>
      </w:r>
      <w:r>
        <w:t xml:space="preserve">No funding was obtained for the reported work.</w:t>
      </w:r>
      <w:r>
        <w:t xml:space="preserve">”</w:t>
      </w:r>
      <w:r>
        <w:t xml:space="preserve">]</w:t>
      </w:r>
    </w:p>
    <w:bookmarkEnd w:id="50"/>
    <w:bookmarkStart w:id="51" w:name="declaration-of-generative-ai-use"/>
    <w:p>
      <w:pPr>
        <w:pStyle w:val="Heading2"/>
      </w:pPr>
      <w:r>
        <w:t xml:space="preserve">Declaration of generative AI use</w:t>
      </w:r>
    </w:p>
    <w:p>
      <w:pPr>
        <w:pStyle w:val="FirstParagraph"/>
      </w:pPr>
      <w:r>
        <w:t xml:space="preserve">[AUTHORS TO COMPLETE: the journal requires a truthful statement of whether and how generative AI was used in the research and manuscript preparation.]</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2026-10-09T04:09:45Z</dcterms:created>
  <dcterms:modified xsi:type="dcterms:W3CDTF">2026-10-09T04:09:45Z</dcterms:modified>
</cp:coreProperties>
</file>

<file path=docProps/custom.xml><?xml version="1.0" encoding="utf-8"?>
<Properties xmlns="http://schemas.openxmlformats.org/officeDocument/2006/custom-properties" xmlns:vt="http://schemas.openxmlformats.org/officeDocument/2006/docPropsVTypes"/>
</file>