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Cover</w:t>
      </w:r>
      <w:r>
        <w:t xml:space="preserve"> </w:t>
      </w:r>
      <w:r>
        <w:t xml:space="preserve">letter</w:t>
      </w:r>
    </w:p>
    <w:p>
      <w:pPr>
        <w:pStyle w:val="FirstParagraph"/>
      </w:pPr>
      <w:r>
        <w:t xml:space="preserve">Dear Editor,</w:t>
      </w:r>
    </w:p>
    <w:p>
      <w:pPr>
        <w:pStyle w:val="BodyText"/>
      </w:pPr>
      <w:r>
        <w:t xml:space="preserve">We submit</w:t>
      </w:r>
      <w:r>
        <w:t xml:space="preserve"> </w:t>
      </w:r>
      <w:r>
        <w:t xml:space="preserve">“</w:t>
      </w:r>
      <w:r>
        <w:t xml:space="preserve">Where the Screen Falls: Incentive Architecture and Domestic Firms’ Entry into the AI Stack in Southeast Asia</w:t>
      </w:r>
      <w:r>
        <w:t xml:space="preserve">”</w:t>
      </w:r>
      <w:r>
        <w:t xml:space="preserve"> </w:t>
      </w:r>
      <w:r>
        <w:t xml:space="preserve">for consideration as an original article in</w:t>
      </w:r>
      <w:r>
        <w:t xml:space="preserve"> </w:t>
      </w:r>
      <w:r>
        <w:rPr>
          <w:iCs/>
          <w:i/>
        </w:rPr>
        <w:t xml:space="preserve">Innovation and Development</w:t>
      </w:r>
      <w:r>
        <w:t xml:space="preserve">.</w:t>
      </w:r>
    </w:p>
    <w:p>
      <w:pPr>
        <w:pStyle w:val="BodyText"/>
      </w:pPr>
      <w:r>
        <w:t xml:space="preserve">Governments in Thailand, Vietnam, Malaysia and the Philippines have written AI into their investment incentive systems, but there is no instrument-level account of which domestic firms those rules admit to the AI stack. We code 29 instruments from the primary legal texts, place their capital thresholds on a common cost scale, and ask whether cost necessity, scale-favouring design or administrative habit better explains the pattern. We find four different incentive architectures. All four make application-layer support accessible to small firms. At the compute layers, Thailand and Malaysia screen by capacity or capital at facility scale, and no instrument is aimed at compute provision below it. Cost explains the height of Thailand’s gate but not the pattern across countries.</w:t>
      </w:r>
    </w:p>
    <w:p>
      <w:pPr>
        <w:pStyle w:val="BodyText"/>
      </w:pPr>
      <w:r>
        <w:t xml:space="preserve">We think the paper suits the journal because it links the policy design of innovation incentives to the question of domestic capability building in middle-income economies. It is explicit about its limits: it studies legal eligibility, not realised access, and it does not claim to show a middle-technology trap.</w:t>
      </w:r>
    </w:p>
    <w:p>
      <w:pPr>
        <w:pStyle w:val="BodyText"/>
      </w:pPr>
      <w:r>
        <w:t xml:space="preserve">The manuscript is anonymised for double-blind review, and the title page and Supporting Information are supplied separately. [AUTHORS TO CONFIRM: the manuscript is original, is not under consideration elsewhere, and all authors have approved this submission.]</w:t>
      </w:r>
    </w:p>
    <w:p>
      <w:pPr>
        <w:pStyle w:val="BodyText"/>
      </w:pPr>
      <w:r>
        <w:t xml:space="preserve">Yours sincerely,</w:t>
      </w:r>
    </w:p>
    <w:p>
      <w:pPr>
        <w:pStyle w:val="BodyText"/>
      </w:pPr>
      <w:r>
        <w:t xml:space="preserve">Quang-Vinh Dang</w:t>
      </w:r>
      <w:r>
        <w:t xml:space="preserve"> </w:t>
      </w:r>
      <w:r>
        <w:t xml:space="preserve">British University Vietnam</w:t>
      </w:r>
      <w:r>
        <w:t xml:space="preserve"> </w:t>
      </w:r>
      <w:r>
        <w:t xml:space="preserve">vinh.dq4@buv.edu.vn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 letter</dc:title>
  <dc:creator/>
  <cp:keywords/>
  <dcterms:created xsi:type="dcterms:W3CDTF">2026-10-09T04:09:53Z</dcterms:created>
  <dcterms:modified xsi:type="dcterms:W3CDTF">2026-10-09T04:09:53Z</dcterms:modified>
</cp:coreProperties>
</file>

<file path=docProps/custom.xml><?xml version="1.0" encoding="utf-8"?>
<Properties xmlns="http://schemas.openxmlformats.org/officeDocument/2006/custom-properties" xmlns:vt="http://schemas.openxmlformats.org/officeDocument/2006/docPropsVTypes"/>
</file>