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domestic firms their incentive rules admit to the AI stack. We code 29 instruments from the legal texts of Thailand, Vietnam, Malaysia and the Philippines, place their capital thresholds on a common cost scale, and test three explanations: cost necessity, scale-favouring design and administrative habit. The four systems use different architectures: capital-gated activities, two parallel tracks, a strategic-technology list and activity tiers with a common firm-scale boundary. All make application-layer support accessible to small firms. At the compute layers, Thailand’s gates lie two to three orders of magnitude above the capital to host one server but about one order or less above the fleet a provider-economics benchmark finds viable, and Malaysia’s data-centre track starts at 0.85 MW. Where small cloud providers can enter on paper, the screen is a fixed compliance cost. Vietnam and the Philippines state no capital rule. No instrument is aimed at provision below facility scale. Cost largely explains Thailand’s gate but not the pattern across countries. The evidence concerns eligibility, not realised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all four countries have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industrialisation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which they attribute to indirect tax credits that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concerns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laissez-faire yields too little investment in new activities. We apply this to compute supply, as our own proposition.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realised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We excluded Indonesia, one of the ASEAN Four in Ke (2024), because the criterion of AI-related incentives in force was not met on the sources we found. Its incentives (tax holidays, super deductions, duty exemptions) are general and name neither AI nor data centres, the national AI roadmap and AI-ethics presidential regulations were still pending in mid-2026 (Noer and Putra, 2026), and an official of the communications ministry was still urging data-centre tax incentives in September 2025 (W.Media, 2025). We checked secondary sources, not primary texts, so Indonesia is a natural later comparator once the roadmap is enacted (on purposive selection see Seawright and Gerring, 2008).</w:t>
      </w:r>
    </w:p>
    <w:p>
      <w:pPr>
        <w:pStyle w:val="BodyText"/>
      </w:pPr>
      <w:r>
        <w:t xml:space="preserve">Thailand is the primary case because it alone publishes approval statistics by sub-activity and ownership. The other three are coded from legal texts. Four purposive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fourteen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One author coded all rows and checked them against the primary texts. A separate instance of a generative AI model then coded all 29 instruments blind, from the codebook and texts alone. Agreement before adjudication was 69 per cent on layer (Cohen’s, 1960, kappa 0.60), 83 per cent on delivery (0.73) and 76 per cent on accommodation (0.57), and 28 of 29 threshold figures matched. We resolved disagreements against the text and log them in Table S6. An AI coder shares the first coder’s blind spots, so a human check remains desirable. The Vietnamese texts were read through a commercial legal database. The Thai originals, the Vietnamese circulars and the SIPP guidelines are unread.</w:t>
      </w:r>
    </w:p>
    <w:p>
      <w:pPr>
        <w:pStyle w:val="BodyText"/>
      </w:pPr>
      <w:r>
        <w:rPr>
          <w:bCs/>
          <w:b/>
        </w:rPr>
        <w:t xml:space="preserve">Common scale.</w:t>
      </w:r>
      <w:r>
        <w:t xml:space="preserve"> </w:t>
      </w:r>
      <w:r>
        <w:t xml:space="preserve">Thresholds have different bases and currencies. We convert each capital figure to US dollars (at about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a planning figure above the 10.2 kW maximum NVIDIA lists for its DGX H100 (NVIDIA, n.d.),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on technologies listed by the Prime Minister, and includes state funding of tasks up to 100 per cent, duty exemption, cost deductions and interest support. The research-centre track demands 60 per cent of workers in research and development, which restricts it to purpose-built institutions. The startup track requires research on listed technology and either revenue growth of at least 20 per cent a year over two years or a commercialisation-ready solution, and offers fee exemptions, controlled testing and priority for venture-fund equity (Article 11). It is the clearest explicit accommodation for new firms in our data.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specialised AI, edge-processing AI cameras, digital-twin platforms and cloud-computing platforms. Group 2 includes specialised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utilising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moves incentives towards outcome-based tiers, but DESAC stays available until its window expires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(any listed technology); Group 1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Entry thresholds at layer (i) are low or absent. At the compute layers the figures have three bases (company capital, project scale, cumulative spending), so we read them as orders of magnitude. Only Vietnam has an explicit startup track, Thailand’s deepest tier presupposes sales, and three countries use tax-based instruments that presuppose profit.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utilisation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Where a low-capital cloud route exists,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are indicative, from vendor, reseller and trade sources. A single server is not a viable provider. Whether a small one is depends on price. At the contract-index price of about US$2.35 per GPU-hour no small provider breaks even. At US$3.00 it needs about 80 per cent utilisation and a fleet of 45 to 270 servers (US$13 million to US$80 million) to cover an overhead of US$50,000 to US$300,000 a year, and at the US$3.85 on-demand list price a few servers suffice. A scale provider breaks even at a utilisation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regional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specialisation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Thailand’s deepest tier presupposes sales, three of four countries deliver the accessible tier through indirect instruments, and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subsidised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subsidising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such as Thailand’s research tier and Malaysia’s audited declaration. Verification in proportion to firm size could lower the fixed cost.</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specialisation,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realised access: firms may be unable to use an eligible instrument, and may reach support through general schemes we have not coded. The findings describe an opportunity structure, not who benefits. Second, one author coded and checked the rows against English or database texts, with only an AI second coder, and the Thai originals, Vietnamese circulars and SIPP guidelines are unread, so findings that depend on a classification are provisional. Third, the central claim depends on A1, which we test only with a stylised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may fill part of the gap. Sixth, only Thailand publishes approval data by sub-activity and ownership, and its gradient rests on three points. Seventh, four cases and ordinal ratings cannot separate H2 from H3 or establish causation, and the target is moving.</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utilisation that small regional providers actually obtain, code the general schemes, and link rules to firm-level take-up.</w:t>
      </w:r>
    </w:p>
    <w:bookmarkEnd w:id="47"/>
    <w:bookmarkStart w:id="48" w:name="acknowledgments"/>
    <w:p>
      <w:pPr>
        <w:pStyle w:val="Heading2"/>
      </w:pPr>
      <w:r>
        <w:t xml:space="preserve">Acknowledgments</w:t>
      </w:r>
    </w:p>
    <w:p>
      <w:pPr>
        <w:pStyle w:val="FirstParagraph"/>
      </w:pPr>
      <w:r>
        <w:t xml:space="preserve">[AUTHORS TO COMPLETE.]</w:t>
      </w:r>
    </w:p>
    <w:bookmarkEnd w:id="48"/>
    <w:bookmarkStart w:id="49" w:name="declaration-of-interest-statement"/>
    <w:p>
      <w:pPr>
        <w:pStyle w:val="Heading2"/>
      </w:pPr>
      <w:r>
        <w:t xml:space="preserve">Declaration of interest statement</w:t>
      </w:r>
    </w:p>
    <w:p>
      <w:pPr>
        <w:pStyle w:val="FirstParagraph"/>
      </w:pPr>
      <w:r>
        <w:t xml:space="preserve">[AUTHORS TO COMPLETE: the authors report no conflict of interest, or state any.]</w:t>
      </w:r>
    </w:p>
    <w:bookmarkEnd w:id="49"/>
    <w:bookmarkStart w:id="50" w:name="funding"/>
    <w:p>
      <w:pPr>
        <w:pStyle w:val="Heading2"/>
      </w:pPr>
      <w:r>
        <w:t xml:space="preserve">Funding</w:t>
      </w:r>
    </w:p>
    <w:p>
      <w:pPr>
        <w:pStyle w:val="FirstParagraph"/>
      </w:pPr>
      <w:r>
        <w:t xml:space="preserve">[AUTHORS TO COMPLETE: funding details, or</w:t>
      </w:r>
      <w:r>
        <w:t xml:space="preserve"> </w:t>
      </w:r>
      <w:r>
        <w:t xml:space="preserve">“</w:t>
      </w:r>
      <w:r>
        <w:t xml:space="preserve">No funding was obtained for the reported work.</w:t>
      </w:r>
      <w:r>
        <w:t xml:space="preserve">”</w:t>
      </w:r>
      <w:r>
        <w:t xml:space="preserve">]</w:t>
      </w:r>
    </w:p>
    <w:bookmarkEnd w:id="50"/>
    <w:bookmarkStart w:id="51" w:name="declaration-of-generative-ai-use"/>
    <w:p>
      <w:pPr>
        <w:pStyle w:val="Heading2"/>
      </w:pPr>
      <w:r>
        <w:t xml:space="preserve">Declaration of generative AI use</w:t>
      </w:r>
    </w:p>
    <w:p>
      <w:pPr>
        <w:pStyle w:val="FirstParagraph"/>
      </w:pPr>
      <w:r>
        <w:t xml:space="preserve">The authors used generative AI to polish the writing of this manuscript and, as a blind second coder, to check the coding of legal instruments (Section 3.2). The authors reviewed and edited the text and take full responsibility for the content.</w:t>
      </w:r>
    </w:p>
    <w:bookmarkEnd w:id="51"/>
    <w:bookmarkStart w:id="52"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Doner, R. F., &amp; Schneider, B. R. (2016). The middle-income trap: More politics than economics.</w:t>
      </w:r>
      <w:r>
        <w:t xml:space="preserve"> </w:t>
      </w:r>
      <w:r>
        <w:rPr>
          <w:iCs/>
          <w:i/>
        </w:rPr>
        <w:t xml:space="preserve">World Politics, 68</w:t>
      </w:r>
      <w:r>
        <w:t xml:space="preserve">(4), 608-644.</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Noer, H., &amp; Putra, M. I. D. (2026, July 10).</w:t>
      </w:r>
      <w:r>
        <w:t xml:space="preserve"> </w:t>
      </w:r>
      <w:r>
        <w:rPr>
          <w:iCs/>
          <w:i/>
        </w:rPr>
        <w:t xml:space="preserve">Consolidation without completion: Indonesia’s AI developments in 2026</w:t>
      </w:r>
      <w:r>
        <w:t xml:space="preserve">. Tech For Good Institute.</w:t>
      </w:r>
    </w:p>
    <w:p>
      <w:pPr>
        <w:pStyle w:val="BodyText"/>
      </w:pPr>
      <w:r>
        <w:t xml:space="preserve">NVIDIA. (n.d.).</w:t>
      </w:r>
      <w:r>
        <w:t xml:space="preserve"> </w:t>
      </w:r>
      <w:r>
        <w:rPr>
          <w:iCs/>
          <w:i/>
        </w:rPr>
        <w:t xml:space="preserve">NVIDIA DGX H100/H200 user guide: Introduction</w:t>
      </w:r>
      <w:r>
        <w:t xml:space="preserve">. https://docs.nvidia.com/dgx/dgxh100-user-guide/introduction-to-dgxh100.html</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W.Media. (2025, September 4). Indonesia must simplify rules and offer tax incentives to woo data center investors: Official.</w:t>
      </w:r>
      <w:r>
        <w:t xml:space="preserve"> </w:t>
      </w:r>
      <w:r>
        <w:rPr>
          <w:iCs/>
          <w:i/>
        </w:rPr>
        <w:t xml:space="preserve">W.Media</w:t>
      </w:r>
      <w:r>
        <w:t xml:space="preserve">. https://w.media/indonesia-must-simplify-rules-and-offer-tax-incentives-to-woo-data-center-investors-official/</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w:t>
      </w:r>
    </w:p>
    <w:bookmarkEnd w:id="52"/>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2026-10-09T04:35:56Z</dcterms:created>
  <dcterms:modified xsi:type="dcterms:W3CDTF">2026-10-09T04:35:56Z</dcterms:modified>
</cp:coreProperties>
</file>

<file path=docProps/custom.xml><?xml version="1.0" encoding="utf-8"?>
<Properties xmlns="http://schemas.openxmlformats.org/officeDocument/2006/custom-properties" xmlns:vt="http://schemas.openxmlformats.org/officeDocument/2006/docPropsVTypes"/>
</file>