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  <w:r>
        <w:t xml:space="preserve"> </w:t>
      </w:r>
      <w:r>
        <w:t xml:space="preserve">page</w:t>
      </w:r>
      <w:r>
        <w:t xml:space="preserve"> </w:t>
      </w:r>
      <w:r>
        <w:t xml:space="preserve">(not</w:t>
      </w:r>
      <w:r>
        <w:t xml:space="preserve"> </w:t>
      </w:r>
      <w:r>
        <w:t xml:space="preserve">anonymised;</w:t>
      </w:r>
      <w:r>
        <w:t xml:space="preserve"> </w:t>
      </w:r>
      <w:r>
        <w:t xml:space="preserve">upload</w:t>
      </w:r>
      <w:r>
        <w:t xml:space="preserve"> </w:t>
      </w:r>
      <w:r>
        <w:t xml:space="preserve">separately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blind</w:t>
      </w:r>
      <w:r>
        <w:t xml:space="preserve"> </w:t>
      </w:r>
      <w:r>
        <w:t xml:space="preserve">manuscript)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Where the Screen Falls: Incentive Architecture and Domestic Firms’ Entry into the AI Stack in Southeast Asia</w:t>
      </w:r>
    </w:p>
    <w:p>
      <w:pPr>
        <w:pStyle w:val="BodyText"/>
      </w:pPr>
      <w:r>
        <w:rPr>
          <w:bCs/>
          <w:b/>
        </w:rPr>
        <w:t xml:space="preserve">Journal:</w:t>
      </w:r>
      <w:r>
        <w:t xml:space="preserve"> </w:t>
      </w:r>
      <w:r>
        <w:t xml:space="preserve">Innovation and Development (Taylor &amp; Francis); article type: original article</w:t>
      </w:r>
    </w:p>
    <w:p>
      <w:pPr>
        <w:pStyle w:val="BodyText"/>
      </w:pPr>
      <w:r>
        <w:rPr>
          <w:bCs/>
          <w:b/>
        </w:rPr>
        <w:t xml:space="preserve">Word count:</w:t>
      </w:r>
      <w:r>
        <w:t xml:space="preserve"> </w:t>
      </w:r>
      <w:r>
        <w:t xml:space="preserve">7,891 words, including abstract, tables, figure caption, references and declarations (limit 8,000).</w:t>
      </w:r>
    </w:p>
    <w:p>
      <w:pPr>
        <w:pStyle w:val="BodyText"/>
      </w:pPr>
      <w:r>
        <w:rPr>
          <w:bCs/>
          <w:b/>
        </w:rPr>
        <w:t xml:space="preserve">Authors</w:t>
      </w:r>
    </w:p>
    <w:p>
      <w:pPr>
        <w:numPr>
          <w:ilvl w:val="0"/>
          <w:numId w:val="1001"/>
        </w:numPr>
        <w:pStyle w:val="Compact"/>
      </w:pPr>
      <w:r>
        <w:t xml:space="preserve">Quang-Vinh Dang, British University Vietnam, Hung Yen, Vietnam. ORCID 0000-0002-3877-8024. Corresponding author: vinh.dq4@buv.edu.vn</w:t>
      </w:r>
    </w:p>
    <w:p>
      <w:pPr>
        <w:numPr>
          <w:ilvl w:val="0"/>
          <w:numId w:val="1001"/>
        </w:numPr>
        <w:pStyle w:val="Compact"/>
      </w:pPr>
      <w:r>
        <w:t xml:space="preserve">[AUTHORS TO COMPLETE: further authors, with full name, affiliation where the research was conducted, ORCID and email. Remove this line if there are none.]</w:t>
      </w:r>
    </w:p>
    <w:p>
      <w:pPr>
        <w:pStyle w:val="FirstParagraph"/>
      </w:pPr>
      <w:r>
        <w:rPr>
          <w:bCs/>
          <w:b/>
        </w:rPr>
        <w:t xml:space="preserve">Keywords:</w:t>
      </w:r>
      <w:r>
        <w:t xml:space="preserve"> </w:t>
      </w:r>
      <w:r>
        <w:t xml:space="preserve">AI industrial policy; investment incentives; incentive design; middle-income trap; middle-technology trap; Southeast Asia</w:t>
      </w:r>
    </w:p>
    <w:p>
      <w:pPr>
        <w:pStyle w:val="BodyText"/>
      </w:pPr>
      <w:r>
        <w:rPr>
          <w:bCs/>
          <w:b/>
        </w:rPr>
        <w:t xml:space="preserve">Abstract (196 words):</w:t>
      </w:r>
      <w:r>
        <w:t xml:space="preserve"> </w:t>
      </w:r>
      <w:r>
        <w:t xml:space="preserve">as in the manuscript.</w:t>
      </w:r>
    </w:p>
    <w:p>
      <w:pPr>
        <w:pStyle w:val="BodyText"/>
      </w:pPr>
      <w:r>
        <w:rPr>
          <w:bCs/>
          <w:b/>
        </w:rPr>
        <w:t xml:space="preserve">CRediT roles</w:t>
      </w:r>
      <w:r>
        <w:t xml:space="preserve"> </w:t>
      </w:r>
      <w:r>
        <w:t xml:space="preserve">(collected in the submission portal) [AUTHORS TO COMPLETE]: conceptualisation; data curation; formal analysis; investigation; methodology; writing, original draft; writing, review and editing; and any others.</w:t>
      </w:r>
    </w:p>
    <w:p>
      <w:pPr>
        <w:pStyle w:val="BodyText"/>
      </w:pPr>
      <w:r>
        <w:rPr>
          <w:bCs/>
          <w:b/>
        </w:rPr>
        <w:t xml:space="preserve">Funding details</w:t>
      </w:r>
      <w:r>
        <w:t xml:space="preserve"> </w:t>
      </w:r>
      <w:r>
        <w:t xml:space="preserve">[AUTHORS TO COMPLETE]: name each funder and grant number, or state that no funding was obtained for the reported work.</w:t>
      </w:r>
    </w:p>
    <w:p>
      <w:pPr>
        <w:pStyle w:val="BodyText"/>
      </w:pPr>
      <w:r>
        <w:rPr>
          <w:bCs/>
          <w:b/>
        </w:rPr>
        <w:t xml:space="preserve">Disclosure statement</w:t>
      </w:r>
      <w:r>
        <w:t xml:space="preserve"> </w:t>
      </w:r>
      <w:r>
        <w:t xml:space="preserve">[AUTHORS TO COMPLETE]: any financial interest or benefit arising from direct applications of the research, or a statement that there is none.</w:t>
      </w:r>
    </w:p>
    <w:p>
      <w:pPr>
        <w:pStyle w:val="BodyText"/>
      </w:pPr>
      <w:r>
        <w:rPr>
          <w:bCs/>
          <w:b/>
        </w:rPr>
        <w:t xml:space="preserve">Declaration of generative AI use:</w:t>
      </w:r>
      <w:r>
        <w:t xml:space="preserve"> </w:t>
      </w:r>
      <w:r>
        <w:t xml:space="preserve">The authors used generative AI to polish the writing of this manuscript and, as a blind second coder, to check the coding of legal instruments (Section 3.2). The authors reviewed and edited the text and take full responsibility for the content. [AUTHORS TO CONFIRM that this covers every use, including any help with reading sources, searching, coding or drafting, and name the tool if the journal asks.]</w:t>
      </w:r>
    </w:p>
    <w:p>
      <w:pPr>
        <w:pStyle w:val="BodyText"/>
      </w:pPr>
      <w:r>
        <w:rPr>
          <w:bCs/>
          <w:b/>
        </w:rPr>
        <w:t xml:space="preserve">Data availability.</w:t>
      </w:r>
      <w:r>
        <w:t xml:space="preserve"> </w:t>
      </w:r>
      <w:r>
        <w:t xml:space="preserve">The instrument-level coding matrix and sources are in the Supporting Information (Tables S1 to S6) and the blind coding sheet.</w:t>
      </w:r>
    </w:p>
    <w:p>
      <w:pPr>
        <w:pStyle w:val="BodyText"/>
      </w:pPr>
      <w:r>
        <w:rPr>
          <w:bCs/>
          <w:b/>
        </w:rPr>
        <w:t xml:space="preserve">Supplemental material.</w:t>
      </w:r>
      <w:r>
        <w:t xml:space="preserve"> </w:t>
      </w:r>
      <w:r>
        <w:t xml:space="preserve">Supporting Information, Tables S1 to S6 (upload as supplemental file).</w:t>
      </w:r>
    </w:p>
    <w:sectPr>
      <w:pgMar w:left="1247" w:right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 (not anonymised; upload separately from the blind manuscript)</dc:title>
  <dc:creator/>
  <cp:keywords/>
  <dcterms:created xsi:type="dcterms:W3CDTF">2026-10-09T04:35:56Z</dcterms:created>
  <dcterms:modified xsi:type="dcterms:W3CDTF">2026-10-09T04:35:56Z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