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Supporting</w:t>
      </w:r>
      <w:r>
        <w:t xml:space="preserve"> </w:t>
      </w:r>
      <w:r>
        <w:t xml:space="preserve">Information</w:t>
      </w:r>
    </w:p>
    <w:p>
      <w:pPr>
        <w:pStyle w:val="Subtitle"/>
      </w:pPr>
      <w:r>
        <w:t xml:space="preserve">Instrument-level</w:t>
      </w:r>
      <w:r>
        <w:t xml:space="preserve"> </w:t>
      </w:r>
      <w:r>
        <w:t xml:space="preserve">coding</w:t>
      </w:r>
      <w:r>
        <w:t xml:space="preserve"> </w:t>
      </w:r>
      <w:r>
        <w:t xml:space="preserve">matrix</w:t>
      </w:r>
      <w:r>
        <w:t xml:space="preserve"> </w:t>
      </w:r>
      <w:r>
        <w:t xml:space="preserve">for</w:t>
      </w:r>
      <w:r>
        <w:t xml:space="preserve"> </w:t>
      </w:r>
      <w:r>
        <w:t xml:space="preserve">“</w:t>
      </w:r>
      <w:r>
        <w:t xml:space="preserve">Incentive</w:t>
      </w:r>
      <w:r>
        <w:t xml:space="preserve"> </w:t>
      </w:r>
      <w:r>
        <w:t xml:space="preserve">Design,</w:t>
      </w:r>
      <w:r>
        <w:t xml:space="preserve"> </w:t>
      </w:r>
      <w:r>
        <w:t xml:space="preserve">Ownership,</w:t>
      </w:r>
      <w:r>
        <w:t xml:space="preserve"> </w:t>
      </w:r>
      <w:r>
        <w:t xml:space="preserve">and</w:t>
      </w:r>
      <w:r>
        <w:t xml:space="preserve"> </w:t>
      </w:r>
      <w:r>
        <w:t xml:space="preserve">the</w:t>
      </w:r>
      <w:r>
        <w:t xml:space="preserve"> </w:t>
      </w:r>
      <w:r>
        <w:t xml:space="preserve">Risk</w:t>
      </w:r>
      <w:r>
        <w:t xml:space="preserve"> </w:t>
      </w:r>
      <w:r>
        <w:t xml:space="preserve">of</w:t>
      </w:r>
      <w:r>
        <w:t xml:space="preserve"> </w:t>
      </w:r>
      <w:r>
        <w:t xml:space="preserve">an</w:t>
      </w:r>
      <w:r>
        <w:t xml:space="preserve"> </w:t>
      </w:r>
      <w:r>
        <w:t xml:space="preserve">AI-Era</w:t>
      </w:r>
      <w:r>
        <w:t xml:space="preserve"> </w:t>
      </w:r>
      <w:r>
        <w:t xml:space="preserve">Middle-Technology</w:t>
      </w:r>
      <w:r>
        <w:t xml:space="preserve"> </w:t>
      </w:r>
      <w:r>
        <w:t xml:space="preserve">Trap</w:t>
      </w:r>
      <w:r>
        <w:t xml:space="preserve"> </w:t>
      </w:r>
      <w:r>
        <w:t xml:space="preserve">in</w:t>
      </w:r>
      <w:r>
        <w:t xml:space="preserve"> </w:t>
      </w:r>
      <w:r>
        <w:t xml:space="preserve">Southeast</w:t>
      </w:r>
      <w:r>
        <w:t xml:space="preserve"> </w:t>
      </w:r>
      <w:r>
        <w:t xml:space="preserve">Asia</w:t>
      </w:r>
      <w:r>
        <w:t xml:space="preserve">”</w:t>
      </w:r>
    </w:p>
    <w:bookmarkStart w:id="20" w:name="purpose"/>
    <w:p>
      <w:pPr>
        <w:pStyle w:val="Heading2"/>
      </w:pPr>
      <w:r>
        <w:t xml:space="preserve">Purpose</w:t>
      </w:r>
    </w:p>
    <w:p>
      <w:pPr>
        <w:pStyle w:val="FirstParagraph"/>
      </w:pPr>
      <w:r>
        <w:t xml:space="preserve">This document gives the instrument-level data behind Tables 1 to 5 of the manuscript, so that the coding can be replicated. Each row is one instrument: a specific tax exemption, grant, eligibility rule or compliance requirement. The unit of analysis is the instrument, not the strategy document. A single scheme, such as Thailand’s digital division, bundles several instruments, and each is coded in its own row. Table S1 holds 29 instruments, in four blocks by country; Tables S2 to S8 give the sources, the full evidence matrix, an illustrative ladder, the viability benchmark, the second-coder check, the index and the outcome analysis. Rows 1 to 20 are the first-coded instruments, and rows 21 to 29 were added when the primary texts were read in full for the compute layers.</w:t>
      </w:r>
    </w:p>
    <w:bookmarkEnd w:id="20"/>
    <w:bookmarkStart w:id="21" w:name="how-to-read-table-s1"/>
    <w:p>
      <w:pPr>
        <w:pStyle w:val="Heading2"/>
      </w:pPr>
      <w:r>
        <w:t xml:space="preserve">How to read Table S1</w:t>
      </w:r>
    </w:p>
    <w:p>
      <w:pPr>
        <w:pStyle w:val="FirstParagraph"/>
      </w:pPr>
      <w:r>
        <w:t xml:space="preserve">The columns follow the codebook given below.</w:t>
      </w:r>
    </w:p>
    <w:p>
      <w:pPr>
        <w:numPr>
          <w:ilvl w:val="0"/>
          <w:numId w:val="1001"/>
        </w:numPr>
        <w:pStyle w:val="Compact"/>
      </w:pPr>
      <w:r>
        <w:rPr>
          <w:bCs/>
          <w:b/>
        </w:rPr>
        <w:t xml:space="preserve">Layer.</w:t>
      </w:r>
      <w:r>
        <w:t xml:space="preserve"> </w:t>
      </w:r>
      <w:r>
        <w:t xml:space="preserve">(i) applications and models; (ii) cloud and compute services; (iii) physical data-centre capacity; (ii)+(iii) where one instrument covers both and does not distinguish them; (iv) hardware; or cross-cutting where the instrument applies across activity types without targeting a layer.</w:t>
      </w:r>
    </w:p>
    <w:p>
      <w:pPr>
        <w:numPr>
          <w:ilvl w:val="0"/>
          <w:numId w:val="1001"/>
        </w:numPr>
        <w:pStyle w:val="Compact"/>
      </w:pPr>
      <w:r>
        <w:rPr>
          <w:bCs/>
          <w:b/>
        </w:rPr>
        <w:t xml:space="preserve">Delivery.</w:t>
      </w:r>
      <w:r>
        <w:t xml:space="preserve"> </w:t>
      </w:r>
      <w:r>
        <w:rPr>
          <w:iCs/>
          <w:i/>
        </w:rPr>
        <w:t xml:space="preserve">Indirect</w:t>
      </w:r>
      <w:r>
        <w:t xml:space="preserve"> </w:t>
      </w:r>
      <w:r>
        <w:t xml:space="preserve">for tax-based instruments that presuppose taxable profit or investment expenditure.</w:t>
      </w:r>
      <w:r>
        <w:t xml:space="preserve"> </w:t>
      </w:r>
      <w:r>
        <w:rPr>
          <w:iCs/>
          <w:i/>
        </w:rPr>
        <w:t xml:space="preserve">Direct</w:t>
      </w:r>
      <w:r>
        <w:t xml:space="preserve"> </w:t>
      </w:r>
      <w:r>
        <w:t xml:space="preserve">for grants, equity, fee waivers and interest support.</w:t>
      </w:r>
      <w:r>
        <w:t xml:space="preserve"> </w:t>
      </w:r>
      <w:r>
        <w:rPr>
          <w:iCs/>
          <w:i/>
        </w:rPr>
        <w:t xml:space="preserve">Eligibility status</w:t>
      </w:r>
      <w:r>
        <w:t xml:space="preserve"> </w:t>
      </w:r>
      <w:r>
        <w:t xml:space="preserve">for a rule that confers a status and attaches no benefit itself.</w:t>
      </w:r>
    </w:p>
    <w:p>
      <w:pPr>
        <w:numPr>
          <w:ilvl w:val="0"/>
          <w:numId w:val="1001"/>
        </w:numPr>
        <w:pStyle w:val="Compact"/>
      </w:pPr>
      <w:r>
        <w:rPr>
          <w:bCs/>
          <w:b/>
        </w:rPr>
        <w:t xml:space="preserve">Threshold and basis.</w:t>
      </w:r>
      <w:r>
        <w:t xml:space="preserve"> </w:t>
      </w:r>
      <w:r>
        <w:t xml:space="preserve">The rule as stated in the source, in local currency, with its basis (annual spend, paid-up capital, minimum capital, cumulative capital expenditure, firm-scale investment capital, power capacity, or a proportional ratio).</w:t>
      </w:r>
      <w:r>
        <w:t xml:space="preserve"> </w:t>
      </w:r>
      <w:r>
        <w:t xml:space="preserve">“</w:t>
      </w:r>
      <w:r>
        <w:t xml:space="preserve">None stated</w:t>
      </w:r>
      <w:r>
        <w:t xml:space="preserve">”</w:t>
      </w:r>
      <w:r>
        <w:t xml:space="preserve"> </w:t>
      </w:r>
      <w:r>
        <w:t xml:space="preserve">means the source states no threshold. It does not mean zero.</w:t>
      </w:r>
    </w:p>
    <w:p>
      <w:pPr>
        <w:numPr>
          <w:ilvl w:val="0"/>
          <w:numId w:val="1001"/>
        </w:numPr>
        <w:pStyle w:val="Compact"/>
      </w:pPr>
      <w:r>
        <w:rPr>
          <w:bCs/>
          <w:b/>
        </w:rPr>
        <w:t xml:space="preserve">New-firm accommodation.</w:t>
      </w:r>
      <w:r>
        <w:t xml:space="preserve"> </w:t>
      </w:r>
      <w:r>
        <w:rPr>
          <w:iCs/>
          <w:i/>
        </w:rPr>
        <w:t xml:space="preserve">Yes</w:t>
      </w:r>
      <w:r>
        <w:t xml:space="preserve"> </w:t>
      </w:r>
      <w:r>
        <w:t xml:space="preserve">only for an explicit provision easing access for smaller or newer firms.</w:t>
      </w:r>
      <w:r>
        <w:t xml:space="preserve"> </w:t>
      </w:r>
      <w:r>
        <w:rPr>
          <w:iCs/>
          <w:i/>
        </w:rPr>
        <w:t xml:space="preserve">No</w:t>
      </w:r>
      <w:r>
        <w:t xml:space="preserve"> </w:t>
      </w:r>
      <w:r>
        <w:t xml:space="preserve">otherwise, even when the threshold is low.</w:t>
      </w:r>
      <w:r>
        <w:t xml:space="preserve"> </w:t>
      </w:r>
      <w:r>
        <w:rPr>
          <w:iCs/>
          <w:i/>
        </w:rPr>
        <w:t xml:space="preserve">Not scale-based</w:t>
      </w:r>
      <w:r>
        <w:t xml:space="preserve"> </w:t>
      </w:r>
      <w:r>
        <w:t xml:space="preserve">for a proportional requirement.</w:t>
      </w:r>
      <w:r>
        <w:t xml:space="preserve"> </w:t>
      </w:r>
      <w:r>
        <w:rPr>
          <w:iCs/>
          <w:i/>
        </w:rPr>
        <w:t xml:space="preserve">Not applicable</w:t>
      </w:r>
      <w:r>
        <w:t xml:space="preserve"> </w:t>
      </w:r>
      <w:r>
        <w:t xml:space="preserve">for a designation or discretionary power.</w:t>
      </w:r>
    </w:p>
    <w:p>
      <w:pPr>
        <w:numPr>
          <w:ilvl w:val="0"/>
          <w:numId w:val="1001"/>
        </w:numPr>
        <w:pStyle w:val="Compact"/>
      </w:pPr>
      <w:r>
        <w:rPr>
          <w:bCs/>
          <w:b/>
        </w:rPr>
        <w:t xml:space="preserve">Recurring compliance burden.</w:t>
      </w:r>
      <w:r>
        <w:t xml:space="preserve"> </w:t>
      </w:r>
      <w:r>
        <w:t xml:space="preserve">Annual or ongoing obligations attached to continued eligibility, distinct from one-off application requirements. Fixed-cost obligations are marked as such.</w:t>
      </w:r>
    </w:p>
    <w:p>
      <w:pPr>
        <w:numPr>
          <w:ilvl w:val="0"/>
          <w:numId w:val="1001"/>
        </w:numPr>
        <w:pStyle w:val="Compact"/>
      </w:pPr>
      <w:r>
        <w:rPr>
          <w:bCs/>
          <w:b/>
        </w:rPr>
        <w:t xml:space="preserve">Verification.</w:t>
      </w:r>
      <w:r>
        <w:t xml:space="preserve"> </w:t>
      </w:r>
      <w:r>
        <w:t xml:space="preserve">The text read and the date of the check. All rows were checked against the cited primary text on 9 October 2026. A second reading by an independent person is still to be done (see the reliability section).</w:t>
      </w:r>
    </w:p>
    <w:p>
      <w:pPr>
        <w:pStyle w:val="FirstParagraph"/>
      </w:pPr>
      <w:r>
        <w:t xml:space="preserve">Converted figures use the rates of the Currency section. A converted figure is an approximation for comparison, not a quotation from the source.</w:t>
      </w:r>
    </w:p>
    <w:bookmarkEnd w:id="21"/>
    <w:bookmarkStart w:id="26" w:name="table-s1.-instrument-level-coding-matrix"/>
    <w:p>
      <w:pPr>
        <w:pStyle w:val="Heading2"/>
      </w:pPr>
      <w:r>
        <w:t xml:space="preserve">Table S1. Instrument-level coding matrix</w:t>
      </w:r>
    </w:p>
    <w:bookmarkStart w:id="22" w:name="thailand-board-of-investment"/>
    <w:p>
      <w:pPr>
        <w:pStyle w:val="Heading3"/>
      </w:pPr>
      <w:r>
        <w:t xml:space="preserve">Thailand (Board of Investment)</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530"/>
        <w:gridCol w:w="2474"/>
        <w:gridCol w:w="1178"/>
        <w:gridCol w:w="2003"/>
        <w:gridCol w:w="3770"/>
        <w:gridCol w:w="1531"/>
        <w:gridCol w:w="2003"/>
        <w:gridCol w:w="1531"/>
      </w:tblGrid>
      <w:tr>
        <w:trPr>
          <w:tblHeader w:val="true"/>
        </w:trPr>
        <w:tc>
          <w:tcPr>
            <w:tcW w:type="dxa" w:w="530"/>
          </w:tcPr>
          <w:p>
            <w:pPr>
              <w:pStyle w:val="Compact"/>
              <w:jc w:val="left"/>
            </w:pPr>
            <w:r>
              <w:rPr>
                <w:b/>
                <w:sz w:val="15"/>
              </w:rPr>
              <w:t xml:space="preserve">No.</w:t>
            </w:r>
          </w:p>
        </w:tc>
        <w:tc>
          <w:tcPr>
            <w:tcW w:type="dxa" w:w="2474"/>
          </w:tcPr>
          <w:p>
            <w:pPr>
              <w:pStyle w:val="Compact"/>
              <w:jc w:val="left"/>
            </w:pPr>
            <w:r>
              <w:rPr>
                <w:b/>
                <w:sz w:val="15"/>
              </w:rPr>
              <w:t xml:space="preserve">Instrument</w:t>
            </w:r>
          </w:p>
        </w:tc>
        <w:tc>
          <w:tcPr>
            <w:tcW w:type="dxa" w:w="1178"/>
          </w:tcPr>
          <w:p>
            <w:pPr>
              <w:pStyle w:val="Compact"/>
              <w:jc w:val="left"/>
            </w:pPr>
            <w:r>
              <w:rPr>
                <w:b/>
                <w:sz w:val="15"/>
              </w:rPr>
              <w:t xml:space="preserve">Layer</w:t>
            </w:r>
          </w:p>
        </w:tc>
        <w:tc>
          <w:tcPr>
            <w:tcW w:type="dxa" w:w="2003"/>
          </w:tcPr>
          <w:p>
            <w:pPr>
              <w:pStyle w:val="Compact"/>
              <w:jc w:val="left"/>
            </w:pPr>
            <w:r>
              <w:rPr>
                <w:b/>
                <w:sz w:val="15"/>
              </w:rPr>
              <w:t xml:space="preserve">Delivery</w:t>
            </w:r>
          </w:p>
        </w:tc>
        <w:tc>
          <w:tcPr>
            <w:tcW w:type="dxa" w:w="3771"/>
          </w:tcPr>
          <w:p>
            <w:pPr>
              <w:pStyle w:val="Compact"/>
              <w:jc w:val="left"/>
            </w:pPr>
            <w:r>
              <w:rPr>
                <w:b/>
                <w:sz w:val="15"/>
              </w:rPr>
              <w:t xml:space="preserve">Threshold and basis</w:t>
            </w:r>
          </w:p>
        </w:tc>
        <w:tc>
          <w:tcPr>
            <w:tcW w:type="dxa" w:w="1532"/>
          </w:tcPr>
          <w:p>
            <w:pPr>
              <w:pStyle w:val="Compact"/>
              <w:jc w:val="left"/>
            </w:pPr>
            <w:r>
              <w:rPr>
                <w:b/>
                <w:sz w:val="15"/>
              </w:rPr>
              <w:t xml:space="preserve">New-firm accommodation</w:t>
            </w:r>
          </w:p>
        </w:tc>
        <w:tc>
          <w:tcPr>
            <w:tcW w:type="dxa" w:w="2003"/>
          </w:tcPr>
          <w:p>
            <w:pPr>
              <w:pStyle w:val="Compact"/>
              <w:jc w:val="left"/>
            </w:pPr>
            <w:r>
              <w:rPr>
                <w:b/>
                <w:sz w:val="15"/>
              </w:rPr>
              <w:t xml:space="preserve">Recurring compliance</w:t>
            </w:r>
          </w:p>
        </w:tc>
        <w:tc>
          <w:tcPr>
            <w:tcW w:type="dxa" w:w="1532"/>
          </w:tcPr>
          <w:p>
            <w:pPr>
              <w:pStyle w:val="Compact"/>
              <w:jc w:val="left"/>
            </w:pPr>
            <w:r>
              <w:rPr>
                <w:b/>
                <w:sz w:val="15"/>
              </w:rPr>
              <w:t xml:space="preserve">Verification</w:t>
            </w:r>
          </w:p>
        </w:tc>
      </w:tr>
      <w:tr>
        <w:tc>
          <w:tcPr>
            <w:tcW w:type="dxa" w:w="530"/>
          </w:tcPr>
          <w:p>
            <w:pPr>
              <w:pStyle w:val="Compact"/>
              <w:jc w:val="left"/>
            </w:pPr>
            <w:r>
              <w:rPr>
                <w:sz w:val="15"/>
              </w:rPr>
              <w:t xml:space="preserve">1</w:t>
            </w:r>
          </w:p>
        </w:tc>
        <w:tc>
          <w:tcPr>
            <w:tcW w:type="dxa" w:w="2474"/>
          </w:tcPr>
          <w:p>
            <w:pPr>
              <w:pStyle w:val="Compact"/>
              <w:jc w:val="left"/>
            </w:pPr>
            <w:r>
              <w:rPr>
                <w:sz w:val="15"/>
              </w:rPr>
              <w:t xml:space="preserve">Software, digital platform and digital-content development (Activity 8.1.1, tier A2)</w:t>
            </w:r>
          </w:p>
        </w:tc>
        <w:tc>
          <w:tcPr>
            <w:tcW w:type="dxa" w:w="1178"/>
          </w:tcPr>
          <w:p>
            <w:pPr>
              <w:pStyle w:val="Compact"/>
              <w:jc w:val="left"/>
            </w:pPr>
            <w:r>
              <w:rPr>
                <w:sz w:val="15"/>
              </w:rPr>
              <w:t xml:space="preserve">(i)</w:t>
            </w:r>
          </w:p>
        </w:tc>
        <w:tc>
          <w:tcPr>
            <w:tcW w:type="dxa" w:w="2003"/>
          </w:tcPr>
          <w:p>
            <w:pPr>
              <w:pStyle w:val="Compact"/>
              <w:jc w:val="left"/>
            </w:pPr>
            <w:r>
              <w:rPr>
                <w:sz w:val="15"/>
              </w:rPr>
              <w:t xml:space="preserve">Indirect: eight-year corporate income tax exemption, annual cap at 100% of actual qualifying expenditure</w:t>
            </w:r>
          </w:p>
        </w:tc>
        <w:tc>
          <w:tcPr>
            <w:tcW w:type="dxa" w:w="3771"/>
          </w:tcPr>
          <w:p>
            <w:pPr>
              <w:pStyle w:val="Compact"/>
              <w:jc w:val="left"/>
            </w:pPr>
            <w:r>
              <w:rPr>
                <w:sz w:val="15"/>
              </w:rPr>
              <w:t xml:space="preserve">At least THB 1.5m a year (about US$42,000), annual spend on salaries of additionally employed Thai IT staff; development must take place in Thailand; retail and wholesale sales excluded</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Standard BOI reporting</w:t>
            </w:r>
          </w:p>
        </w:tc>
        <w:tc>
          <w:tcPr>
            <w:tcW w:type="dxa" w:w="1532"/>
          </w:tcPr>
          <w:p>
            <w:pPr>
              <w:pStyle w:val="Compact"/>
              <w:jc w:val="left"/>
            </w:pPr>
            <w:r>
              <w:rPr>
                <w:sz w:val="15"/>
              </w:rPr>
              <w:t xml:space="preserve">Investment Promotion Guide 2026, Activity 8.1.1</w:t>
            </w:r>
          </w:p>
        </w:tc>
      </w:tr>
      <w:tr>
        <w:tc>
          <w:tcPr>
            <w:tcW w:type="dxa" w:w="530"/>
          </w:tcPr>
          <w:p>
            <w:pPr>
              <w:pStyle w:val="Compact"/>
              <w:jc w:val="left"/>
            </w:pPr>
            <w:r>
              <w:rPr>
                <w:sz w:val="15"/>
              </w:rPr>
              <w:t xml:space="preserve">2</w:t>
            </w:r>
          </w:p>
        </w:tc>
        <w:tc>
          <w:tcPr>
            <w:tcW w:type="dxa" w:w="2474"/>
          </w:tcPr>
          <w:p>
            <w:pPr>
              <w:pStyle w:val="Compact"/>
              <w:jc w:val="left"/>
            </w:pPr>
            <w:r>
              <w:rPr>
                <w:sz w:val="15"/>
              </w:rPr>
              <w:t xml:space="preserve">Research and development (Activity 10.2, tier A1)</w:t>
            </w:r>
          </w:p>
        </w:tc>
        <w:tc>
          <w:tcPr>
            <w:tcW w:type="dxa" w:w="1178"/>
          </w:tcPr>
          <w:p>
            <w:pPr>
              <w:pStyle w:val="Compact"/>
              <w:jc w:val="left"/>
            </w:pPr>
            <w:r>
              <w:rPr>
                <w:sz w:val="15"/>
              </w:rPr>
              <w:t xml:space="preserve">Cross-cutting (R&amp;D of any technology)</w:t>
            </w:r>
          </w:p>
        </w:tc>
        <w:tc>
          <w:tcPr>
            <w:tcW w:type="dxa" w:w="2003"/>
          </w:tcPr>
          <w:p>
            <w:pPr>
              <w:pStyle w:val="Compact"/>
              <w:jc w:val="left"/>
            </w:pPr>
            <w:r>
              <w:rPr>
                <w:sz w:val="15"/>
              </w:rPr>
              <w:t xml:space="preserve">Indirect: corporate income tax exemption</w:t>
            </w:r>
          </w:p>
        </w:tc>
        <w:tc>
          <w:tcPr>
            <w:tcW w:type="dxa" w:w="3771"/>
          </w:tcPr>
          <w:p>
            <w:pPr>
              <w:pStyle w:val="Compact"/>
              <w:jc w:val="left"/>
            </w:pPr>
            <w:r>
              <w:rPr>
                <w:sz w:val="15"/>
              </w:rPr>
              <w:t xml:space="preserve">At least THB 1.5m a year of new R&amp;D salaries (about US$42,000, annual spend),</w:t>
            </w:r>
            <w:r>
              <w:rPr>
                <w:sz w:val="15"/>
              </w:rPr>
              <w:t xml:space="preserve"> </w:t>
            </w:r>
            <w:r>
              <w:rPr>
                <w:bCs/>
                <w:b/>
                <w:sz w:val="15"/>
              </w:rPr>
              <w:t xml:space="preserve">or</w:t>
            </w:r>
            <w:r>
              <w:rPr>
                <w:sz w:val="15"/>
              </w:rPr>
              <w:t xml:space="preserve"> </w:t>
            </w:r>
            <w:r>
              <w:rPr>
                <w:sz w:val="15"/>
              </w:rPr>
              <w:t xml:space="preserve">capital investment of at least THB 1m (about US$28,000) excluding land, working capital and vehicles</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Standard BOI reporting</w:t>
            </w:r>
          </w:p>
        </w:tc>
        <w:tc>
          <w:tcPr>
            <w:tcW w:type="dxa" w:w="1532"/>
          </w:tcPr>
          <w:p>
            <w:pPr>
              <w:pStyle w:val="Compact"/>
              <w:jc w:val="left"/>
            </w:pPr>
            <w:r>
              <w:rPr>
                <w:sz w:val="15"/>
              </w:rPr>
              <w:t xml:space="preserve">Guide 2026, Activity 10.2</w:t>
            </w:r>
          </w:p>
        </w:tc>
      </w:tr>
      <w:tr>
        <w:tc>
          <w:tcPr>
            <w:tcW w:type="dxa" w:w="530"/>
          </w:tcPr>
          <w:p>
            <w:pPr>
              <w:pStyle w:val="Compact"/>
              <w:jc w:val="left"/>
            </w:pPr>
            <w:r>
              <w:rPr>
                <w:sz w:val="15"/>
              </w:rPr>
              <w:t xml:space="preserve">3</w:t>
            </w:r>
          </w:p>
        </w:tc>
        <w:tc>
          <w:tcPr>
            <w:tcW w:type="dxa" w:w="2474"/>
          </w:tcPr>
          <w:p>
            <w:pPr>
              <w:pStyle w:val="Compact"/>
              <w:jc w:val="left"/>
            </w:pPr>
            <w:r>
              <w:rPr>
                <w:sz w:val="15"/>
              </w:rPr>
              <w:t xml:space="preserve">Competitiveness-enhancement measure (extension of the exemption; Announcement 10/2565)</w:t>
            </w:r>
          </w:p>
        </w:tc>
        <w:tc>
          <w:tcPr>
            <w:tcW w:type="dxa" w:w="1178"/>
          </w:tcPr>
          <w:p>
            <w:pPr>
              <w:pStyle w:val="Compact"/>
              <w:jc w:val="left"/>
            </w:pPr>
            <w:r>
              <w:rPr>
                <w:sz w:val="15"/>
              </w:rPr>
              <w:t xml:space="preserve">Cross-cutting (all activity groups)</w:t>
            </w:r>
          </w:p>
        </w:tc>
        <w:tc>
          <w:tcPr>
            <w:tcW w:type="dxa" w:w="2003"/>
          </w:tcPr>
          <w:p>
            <w:pPr>
              <w:pStyle w:val="Compact"/>
              <w:jc w:val="left"/>
            </w:pPr>
            <w:r>
              <w:rPr>
                <w:sz w:val="15"/>
              </w:rPr>
              <w:t xml:space="preserve">Indirect: extension by one year, and by up to five years, to a maximum of 13 years</w:t>
            </w:r>
          </w:p>
        </w:tc>
        <w:tc>
          <w:tcPr>
            <w:tcW w:type="dxa" w:w="3771"/>
          </w:tcPr>
          <w:p>
            <w:pPr>
              <w:pStyle w:val="Compact"/>
              <w:jc w:val="left"/>
            </w:pPr>
            <w:r>
              <w:rPr>
                <w:sz w:val="15"/>
              </w:rPr>
              <w:t xml:space="preserve">Spending of at least 1% of sales in the first three years, or THB 200m (about US$5.6m), whichever is lower, for one year; 5% of sales or THB 1,000m for the maximum; basis proportional to sales</w:t>
            </w:r>
          </w:p>
        </w:tc>
        <w:tc>
          <w:tcPr>
            <w:tcW w:type="dxa" w:w="1532"/>
          </w:tcPr>
          <w:p>
            <w:pPr>
              <w:pStyle w:val="Compact"/>
              <w:jc w:val="left"/>
            </w:pPr>
            <w:r>
              <w:rPr>
                <w:sz w:val="15"/>
              </w:rPr>
              <w:t xml:space="preserve">Not scale-based (proportional to sales), but presupposes sales in the first three years</w:t>
            </w:r>
          </w:p>
        </w:tc>
        <w:tc>
          <w:tcPr>
            <w:tcW w:type="dxa" w:w="2003"/>
          </w:tcPr>
          <w:p>
            <w:pPr>
              <w:pStyle w:val="Compact"/>
              <w:jc w:val="left"/>
            </w:pPr>
            <w:r>
              <w:rPr>
                <w:sz w:val="15"/>
              </w:rPr>
              <w:t xml:space="preserve">Monitoring of spending against sales</w:t>
            </w:r>
          </w:p>
        </w:tc>
        <w:tc>
          <w:tcPr>
            <w:tcW w:type="dxa" w:w="1532"/>
          </w:tcPr>
          <w:p>
            <w:pPr>
              <w:pStyle w:val="Compact"/>
              <w:jc w:val="left"/>
            </w:pPr>
            <w:r>
              <w:rPr>
                <w:sz w:val="15"/>
              </w:rPr>
              <w:t xml:space="preserve">Guide 2026 and Announcement 10/2565 as restated in the Guide</w:t>
            </w:r>
          </w:p>
        </w:tc>
      </w:tr>
      <w:tr>
        <w:tc>
          <w:tcPr>
            <w:tcW w:type="dxa" w:w="530"/>
          </w:tcPr>
          <w:p>
            <w:pPr>
              <w:pStyle w:val="Compact"/>
              <w:jc w:val="left"/>
            </w:pPr>
            <w:r>
              <w:rPr>
                <w:sz w:val="15"/>
              </w:rPr>
              <w:t xml:space="preserve">4</w:t>
            </w:r>
          </w:p>
        </w:tc>
        <w:tc>
          <w:tcPr>
            <w:tcW w:type="dxa" w:w="2474"/>
          </w:tcPr>
          <w:p>
            <w:pPr>
              <w:pStyle w:val="Compact"/>
              <w:jc w:val="left"/>
            </w:pPr>
            <w:r>
              <w:rPr>
                <w:sz w:val="15"/>
              </w:rPr>
              <w:t xml:space="preserve">GPU-based data hosting (Activity 8.2.4.1, tier A2); other data hosting (8.2.4.2, tier A3) has the same capital condition</w:t>
            </w:r>
          </w:p>
        </w:tc>
        <w:tc>
          <w:tcPr>
            <w:tcW w:type="dxa" w:w="1178"/>
          </w:tcPr>
          <w:p>
            <w:pPr>
              <w:pStyle w:val="Compact"/>
              <w:jc w:val="left"/>
            </w:pPr>
            <w:r>
              <w:rPr>
                <w:sz w:val="15"/>
              </w:rPr>
              <w:t xml:space="preserve">(ii)</w:t>
            </w:r>
          </w:p>
        </w:tc>
        <w:tc>
          <w:tcPr>
            <w:tcW w:type="dxa" w:w="2003"/>
          </w:tcPr>
          <w:p>
            <w:pPr>
              <w:pStyle w:val="Compact"/>
              <w:jc w:val="left"/>
            </w:pPr>
            <w:r>
              <w:rPr>
                <w:sz w:val="15"/>
              </w:rPr>
              <w:t xml:space="preserve">Indirect: corporate income tax exemption</w:t>
            </w:r>
          </w:p>
        </w:tc>
        <w:tc>
          <w:tcPr>
            <w:tcW w:type="dxa" w:w="3771"/>
          </w:tcPr>
          <w:p>
            <w:pPr>
              <w:pStyle w:val="Compact"/>
              <w:jc w:val="left"/>
            </w:pPr>
            <w:r>
              <w:rPr>
                <w:sz w:val="15"/>
              </w:rPr>
              <w:t xml:space="preserve">At least THB 5,000m (about US$140m) of capital investment excluding land and working capital; location in at least two certified data centres</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Certification regime of the host data centres</w:t>
            </w:r>
          </w:p>
        </w:tc>
        <w:tc>
          <w:tcPr>
            <w:tcW w:type="dxa" w:w="1532"/>
          </w:tcPr>
          <w:p>
            <w:pPr>
              <w:pStyle w:val="Compact"/>
              <w:jc w:val="left"/>
            </w:pPr>
            <w:r>
              <w:rPr>
                <w:sz w:val="15"/>
              </w:rPr>
              <w:t xml:space="preserve">Guide 2026, Activity 8.2.4</w:t>
            </w:r>
          </w:p>
        </w:tc>
      </w:tr>
      <w:tr>
        <w:tc>
          <w:tcPr>
            <w:tcW w:type="dxa" w:w="530"/>
          </w:tcPr>
          <w:p>
            <w:pPr>
              <w:pStyle w:val="Compact"/>
              <w:jc w:val="left"/>
            </w:pPr>
            <w:r>
              <w:rPr>
                <w:sz w:val="15"/>
              </w:rPr>
              <w:t xml:space="preserve">5</w:t>
            </w:r>
          </w:p>
        </w:tc>
        <w:tc>
          <w:tcPr>
            <w:tcW w:type="dxa" w:w="2474"/>
          </w:tcPr>
          <w:p>
            <w:pPr>
              <w:pStyle w:val="Compact"/>
              <w:jc w:val="left"/>
            </w:pPr>
            <w:r>
              <w:rPr>
                <w:sz w:val="15"/>
              </w:rPr>
              <w:t xml:space="preserve">Trade and Investment Support Office, including internationally delivered business-process outsourcing (Activity 10.1.1, tier B)</w:t>
            </w:r>
          </w:p>
        </w:tc>
        <w:tc>
          <w:tcPr>
            <w:tcW w:type="dxa" w:w="1178"/>
          </w:tcPr>
          <w:p>
            <w:pPr>
              <w:pStyle w:val="Compact"/>
              <w:jc w:val="left"/>
            </w:pPr>
            <w:r>
              <w:rPr>
                <w:sz w:val="15"/>
              </w:rPr>
              <w:t xml:space="preserve">Cross-cutting (services)</w:t>
            </w:r>
          </w:p>
        </w:tc>
        <w:tc>
          <w:tcPr>
            <w:tcW w:type="dxa" w:w="2003"/>
          </w:tcPr>
          <w:p>
            <w:pPr>
              <w:pStyle w:val="Compact"/>
              <w:jc w:val="left"/>
            </w:pPr>
            <w:r>
              <w:rPr>
                <w:sz w:val="15"/>
              </w:rPr>
              <w:t xml:space="preserve">None: tier B carries no corporate income tax exemption</w:t>
            </w:r>
          </w:p>
        </w:tc>
        <w:tc>
          <w:tcPr>
            <w:tcW w:type="dxa" w:w="3771"/>
          </w:tcPr>
          <w:p>
            <w:pPr>
              <w:pStyle w:val="Compact"/>
              <w:jc w:val="left"/>
            </w:pPr>
            <w:r>
              <w:rPr>
                <w:sz w:val="15"/>
              </w:rPr>
              <w:t xml:space="preserve">At least THB 10m a year (about US$280,000) of selling and administrative expenses</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Standard registration</w:t>
            </w:r>
          </w:p>
        </w:tc>
        <w:tc>
          <w:tcPr>
            <w:tcW w:type="dxa" w:w="1532"/>
          </w:tcPr>
          <w:p>
            <w:pPr>
              <w:pStyle w:val="Compact"/>
              <w:jc w:val="left"/>
            </w:pPr>
            <w:r>
              <w:rPr>
                <w:sz w:val="15"/>
              </w:rPr>
              <w:t xml:space="preserve">Guide 2026, Activity 10.1.1</w:t>
            </w:r>
          </w:p>
        </w:tc>
      </w:tr>
      <w:tr>
        <w:tc>
          <w:tcPr>
            <w:tcW w:type="dxa" w:w="530"/>
          </w:tcPr>
          <w:p>
            <w:pPr>
              <w:pStyle w:val="Compact"/>
              <w:jc w:val="left"/>
            </w:pPr>
            <w:r>
              <w:rPr>
                <w:sz w:val="15"/>
              </w:rPr>
              <w:t xml:space="preserve">6</w:t>
            </w:r>
          </w:p>
        </w:tc>
        <w:tc>
          <w:tcPr>
            <w:tcW w:type="dxa" w:w="2474"/>
          </w:tcPr>
          <w:p>
            <w:pPr>
              <w:pStyle w:val="Compact"/>
              <w:jc w:val="left"/>
            </w:pPr>
            <w:r>
              <w:rPr>
                <w:sz w:val="15"/>
              </w:rPr>
              <w:t xml:space="preserve">Distribution centres with smart systems (Activity 10.11.1, tier A2)</w:t>
            </w:r>
          </w:p>
        </w:tc>
        <w:tc>
          <w:tcPr>
            <w:tcW w:type="dxa" w:w="1178"/>
          </w:tcPr>
          <w:p>
            <w:pPr>
              <w:pStyle w:val="Compact"/>
              <w:jc w:val="left"/>
            </w:pPr>
            <w:r>
              <w:rPr>
                <w:sz w:val="15"/>
              </w:rPr>
              <w:t xml:space="preserve">Cross-cutting</w:t>
            </w:r>
          </w:p>
        </w:tc>
        <w:tc>
          <w:tcPr>
            <w:tcW w:type="dxa" w:w="2003"/>
          </w:tcPr>
          <w:p>
            <w:pPr>
              <w:pStyle w:val="Compact"/>
              <w:jc w:val="left"/>
            </w:pPr>
            <w:r>
              <w:rPr>
                <w:sz w:val="15"/>
              </w:rPr>
              <w:t xml:space="preserve">Indirect: corporate income tax exemption</w:t>
            </w:r>
          </w:p>
        </w:tc>
        <w:tc>
          <w:tcPr>
            <w:tcW w:type="dxa" w:w="3771"/>
          </w:tcPr>
          <w:p>
            <w:pPr>
              <w:pStyle w:val="Compact"/>
              <w:jc w:val="left"/>
            </w:pPr>
            <w:r>
              <w:rPr>
                <w:sz w:val="15"/>
              </w:rPr>
              <w:t xml:space="preserve">Capital investment of at least THB 1,000m (about US$28m) excluding land and working capital; within three years, Thai staff with science or technology degrees (engineering, AI, data science) of at least 20% of employment, use of a data centre or colocation in Thailand, and data-analytics activity</w:t>
            </w:r>
          </w:p>
        </w:tc>
        <w:tc>
          <w:tcPr>
            <w:tcW w:type="dxa" w:w="1532"/>
          </w:tcPr>
          <w:p>
            <w:pPr>
              <w:pStyle w:val="Compact"/>
              <w:jc w:val="left"/>
            </w:pPr>
            <w:r>
              <w:rPr>
                <w:sz w:val="15"/>
              </w:rPr>
              <w:t xml:space="preserve">Staffing ratio: not scale-based; the capital condition is scale-linked, so No</w:t>
            </w:r>
          </w:p>
        </w:tc>
        <w:tc>
          <w:tcPr>
            <w:tcW w:type="dxa" w:w="2003"/>
          </w:tcPr>
          <w:p>
            <w:pPr>
              <w:pStyle w:val="Compact"/>
              <w:jc w:val="left"/>
            </w:pPr>
            <w:r>
              <w:rPr>
                <w:sz w:val="15"/>
              </w:rPr>
              <w:t xml:space="preserve">Staffing-ratio compliance</w:t>
            </w:r>
          </w:p>
        </w:tc>
        <w:tc>
          <w:tcPr>
            <w:tcW w:type="dxa" w:w="1532"/>
          </w:tcPr>
          <w:p>
            <w:pPr>
              <w:pStyle w:val="Compact"/>
              <w:jc w:val="left"/>
            </w:pPr>
            <w:r>
              <w:rPr>
                <w:sz w:val="15"/>
              </w:rPr>
              <w:t xml:space="preserve">Guide 2026, Activity 10.11.1</w:t>
            </w:r>
          </w:p>
        </w:tc>
      </w:tr>
      <w:tr>
        <w:tc>
          <w:tcPr>
            <w:tcW w:type="dxa" w:w="530"/>
          </w:tcPr>
          <w:p>
            <w:pPr>
              <w:pStyle w:val="Compact"/>
              <w:jc w:val="left"/>
            </w:pPr>
            <w:r>
              <w:rPr>
                <w:sz w:val="15"/>
              </w:rPr>
              <w:t xml:space="preserve">21</w:t>
            </w:r>
          </w:p>
        </w:tc>
        <w:tc>
          <w:tcPr>
            <w:tcW w:type="dxa" w:w="2474"/>
          </w:tcPr>
          <w:p>
            <w:pPr>
              <w:pStyle w:val="Compact"/>
              <w:jc w:val="left"/>
            </w:pPr>
            <w:r>
              <w:rPr>
                <w:sz w:val="15"/>
              </w:rPr>
              <w:t xml:space="preserve">Cloud services (Activity 8.2.2, tier A2)</w:t>
            </w:r>
          </w:p>
        </w:tc>
        <w:tc>
          <w:tcPr>
            <w:tcW w:type="dxa" w:w="1178"/>
          </w:tcPr>
          <w:p>
            <w:pPr>
              <w:pStyle w:val="Compact"/>
              <w:jc w:val="left"/>
            </w:pPr>
            <w:r>
              <w:rPr>
                <w:sz w:val="15"/>
              </w:rPr>
              <w:t xml:space="preserve">(ii)</w:t>
            </w:r>
          </w:p>
        </w:tc>
        <w:tc>
          <w:tcPr>
            <w:tcW w:type="dxa" w:w="2003"/>
          </w:tcPr>
          <w:p>
            <w:pPr>
              <w:pStyle w:val="Compact"/>
              <w:jc w:val="left"/>
            </w:pPr>
            <w:r>
              <w:rPr>
                <w:sz w:val="15"/>
              </w:rPr>
              <w:t xml:space="preserve">Indirect: corporate income tax exemption</w:t>
            </w:r>
          </w:p>
        </w:tc>
        <w:tc>
          <w:tcPr>
            <w:tcW w:type="dxa" w:w="3771"/>
          </w:tcPr>
          <w:p>
            <w:pPr>
              <w:pStyle w:val="Compact"/>
              <w:jc w:val="left"/>
            </w:pPr>
            <w:r>
              <w:rPr>
                <w:bCs/>
                <w:b/>
                <w:sz w:val="15"/>
              </w:rPr>
              <w:t xml:space="preserve">No minimum capital.</w:t>
            </w:r>
            <w:r>
              <w:rPr>
                <w:sz w:val="15"/>
              </w:rPr>
              <w:t xml:space="preserve"> </w:t>
            </w:r>
            <w:r>
              <w:rPr>
                <w:sz w:val="15"/>
              </w:rPr>
              <w:t xml:space="preserve">Location in at least two ISO/IEC 27001-certified data centres in Thailand, interconnected at 10 Gbps or more with a backup link; ISO/IEC 27001 for cloud security and ISO/IEC 20000-1 held before using the exemption</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Fixed certification costs (ISO/IEC 27001 and 20000-1)</w:t>
            </w:r>
          </w:p>
        </w:tc>
        <w:tc>
          <w:tcPr>
            <w:tcW w:type="dxa" w:w="1532"/>
          </w:tcPr>
          <w:p>
            <w:pPr>
              <w:pStyle w:val="Compact"/>
              <w:jc w:val="left"/>
            </w:pPr>
            <w:r>
              <w:rPr>
                <w:sz w:val="15"/>
              </w:rPr>
              <w:t xml:space="preserve">Guide 2026, Activity 8.2.2</w:t>
            </w:r>
          </w:p>
        </w:tc>
      </w:tr>
      <w:tr>
        <w:tc>
          <w:tcPr>
            <w:tcW w:type="dxa" w:w="530"/>
          </w:tcPr>
          <w:p>
            <w:pPr>
              <w:pStyle w:val="Compact"/>
              <w:jc w:val="left"/>
            </w:pPr>
            <w:r>
              <w:rPr>
                <w:sz w:val="15"/>
              </w:rPr>
              <w:t xml:space="preserve">22</w:t>
            </w:r>
          </w:p>
        </w:tc>
        <w:tc>
          <w:tcPr>
            <w:tcW w:type="dxa" w:w="2474"/>
          </w:tcPr>
          <w:p>
            <w:pPr>
              <w:pStyle w:val="Compact"/>
              <w:jc w:val="left"/>
            </w:pPr>
            <w:r>
              <w:rPr>
                <w:sz w:val="15"/>
              </w:rPr>
              <w:t xml:space="preserve">Data centres (Activity 8.2.1, two tiers)</w:t>
            </w:r>
          </w:p>
        </w:tc>
        <w:tc>
          <w:tcPr>
            <w:tcW w:type="dxa" w:w="1178"/>
          </w:tcPr>
          <w:p>
            <w:pPr>
              <w:pStyle w:val="Compact"/>
              <w:jc w:val="left"/>
            </w:pPr>
            <w:r>
              <w:rPr>
                <w:sz w:val="15"/>
              </w:rPr>
              <w:t xml:space="preserve">(iii)</w:t>
            </w:r>
          </w:p>
        </w:tc>
        <w:tc>
          <w:tcPr>
            <w:tcW w:type="dxa" w:w="2003"/>
          </w:tcPr>
          <w:p>
            <w:pPr>
              <w:pStyle w:val="Compact"/>
              <w:jc w:val="left"/>
            </w:pPr>
            <w:r>
              <w:rPr>
                <w:sz w:val="15"/>
              </w:rPr>
              <w:t xml:space="preserve">Indirect: corporate income tax exemption</w:t>
            </w:r>
          </w:p>
        </w:tc>
        <w:tc>
          <w:tcPr>
            <w:tcW w:type="dxa" w:w="3771"/>
          </w:tcPr>
          <w:p>
            <w:pPr>
              <w:pStyle w:val="Compact"/>
              <w:jc w:val="left"/>
            </w:pPr>
            <w:r>
              <w:rPr>
                <w:sz w:val="15"/>
              </w:rPr>
              <w:t xml:space="preserve">Electrical system for at least 2 MW of IT load in both tiers (basis power capacity; no capital minimum stated); at least four telecom systems with combined capacity of at least 60 Gbps; concurrent maintainability; plan of benefits to Thailand; Thai personnel in at least half of executive and expert positions within three years; the higher tier also requires a power usage effectiveness of 1.3 or lower; the Guide also lists preliminary approval by a Board sub-committee, which the later announcement does not repeat</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ISO/IEC 27001 certification; power usage effectiveness in the higher tier</w:t>
            </w:r>
          </w:p>
        </w:tc>
        <w:tc>
          <w:tcPr>
            <w:tcW w:type="dxa" w:w="1532"/>
          </w:tcPr>
          <w:p>
            <w:pPr>
              <w:pStyle w:val="Compact"/>
              <w:jc w:val="left"/>
            </w:pPr>
            <w:r>
              <w:rPr>
                <w:sz w:val="15"/>
              </w:rPr>
              <w:t xml:space="preserve">Guide 2026, Activity 8.2.1; Announcement Sor. 9/2568</w:t>
            </w:r>
          </w:p>
        </w:tc>
      </w:tr>
    </w:tbl>
    <w:bookmarkEnd w:id="22"/>
    <w:bookmarkStart w:id="23" w:name="vietnam"/>
    <w:p>
      <w:pPr>
        <w:pStyle w:val="Heading3"/>
      </w:pPr>
      <w:r>
        <w:t xml:space="preserve">Vietnam</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530"/>
        <w:gridCol w:w="2474"/>
        <w:gridCol w:w="1178"/>
        <w:gridCol w:w="2003"/>
        <w:gridCol w:w="3770"/>
        <w:gridCol w:w="1531"/>
        <w:gridCol w:w="2003"/>
        <w:gridCol w:w="1531"/>
      </w:tblGrid>
      <w:tr>
        <w:trPr>
          <w:tblHeader w:val="true"/>
        </w:trPr>
        <w:tc>
          <w:tcPr>
            <w:tcW w:type="dxa" w:w="530"/>
          </w:tcPr>
          <w:p>
            <w:pPr>
              <w:pStyle w:val="Compact"/>
              <w:jc w:val="left"/>
            </w:pPr>
            <w:r>
              <w:rPr>
                <w:b/>
                <w:sz w:val="15"/>
              </w:rPr>
              <w:t xml:space="preserve">No.</w:t>
            </w:r>
          </w:p>
        </w:tc>
        <w:tc>
          <w:tcPr>
            <w:tcW w:type="dxa" w:w="2474"/>
          </w:tcPr>
          <w:p>
            <w:pPr>
              <w:pStyle w:val="Compact"/>
              <w:jc w:val="left"/>
            </w:pPr>
            <w:r>
              <w:rPr>
                <w:b/>
                <w:sz w:val="15"/>
              </w:rPr>
              <w:t xml:space="preserve">Instrument</w:t>
            </w:r>
          </w:p>
        </w:tc>
        <w:tc>
          <w:tcPr>
            <w:tcW w:type="dxa" w:w="1178"/>
          </w:tcPr>
          <w:p>
            <w:pPr>
              <w:pStyle w:val="Compact"/>
              <w:jc w:val="left"/>
            </w:pPr>
            <w:r>
              <w:rPr>
                <w:b/>
                <w:sz w:val="15"/>
              </w:rPr>
              <w:t xml:space="preserve">Layer</w:t>
            </w:r>
          </w:p>
        </w:tc>
        <w:tc>
          <w:tcPr>
            <w:tcW w:type="dxa" w:w="2003"/>
          </w:tcPr>
          <w:p>
            <w:pPr>
              <w:pStyle w:val="Compact"/>
              <w:jc w:val="left"/>
            </w:pPr>
            <w:r>
              <w:rPr>
                <w:b/>
                <w:sz w:val="15"/>
              </w:rPr>
              <w:t xml:space="preserve">Delivery</w:t>
            </w:r>
          </w:p>
        </w:tc>
        <w:tc>
          <w:tcPr>
            <w:tcW w:type="dxa" w:w="3771"/>
          </w:tcPr>
          <w:p>
            <w:pPr>
              <w:pStyle w:val="Compact"/>
              <w:jc w:val="left"/>
            </w:pPr>
            <w:r>
              <w:rPr>
                <w:b/>
                <w:sz w:val="15"/>
              </w:rPr>
              <w:t xml:space="preserve">Threshold and basis</w:t>
            </w:r>
          </w:p>
        </w:tc>
        <w:tc>
          <w:tcPr>
            <w:tcW w:type="dxa" w:w="1532"/>
          </w:tcPr>
          <w:p>
            <w:pPr>
              <w:pStyle w:val="Compact"/>
              <w:jc w:val="left"/>
            </w:pPr>
            <w:r>
              <w:rPr>
                <w:b/>
                <w:sz w:val="15"/>
              </w:rPr>
              <w:t xml:space="preserve">New-firm accommodation</w:t>
            </w:r>
          </w:p>
        </w:tc>
        <w:tc>
          <w:tcPr>
            <w:tcW w:type="dxa" w:w="2003"/>
          </w:tcPr>
          <w:p>
            <w:pPr>
              <w:pStyle w:val="Compact"/>
              <w:jc w:val="left"/>
            </w:pPr>
            <w:r>
              <w:rPr>
                <w:b/>
                <w:sz w:val="15"/>
              </w:rPr>
              <w:t xml:space="preserve">Recurring compliance</w:t>
            </w:r>
          </w:p>
        </w:tc>
        <w:tc>
          <w:tcPr>
            <w:tcW w:type="dxa" w:w="1532"/>
          </w:tcPr>
          <w:p>
            <w:pPr>
              <w:pStyle w:val="Compact"/>
              <w:jc w:val="left"/>
            </w:pPr>
            <w:r>
              <w:rPr>
                <w:b/>
                <w:sz w:val="15"/>
              </w:rPr>
              <w:t xml:space="preserve">Verification</w:t>
            </w:r>
          </w:p>
        </w:tc>
      </w:tr>
      <w:tr>
        <w:tc>
          <w:tcPr>
            <w:tcW w:type="dxa" w:w="530"/>
          </w:tcPr>
          <w:p>
            <w:pPr>
              <w:pStyle w:val="Compact"/>
              <w:jc w:val="left"/>
            </w:pPr>
            <w:r>
              <w:rPr>
                <w:sz w:val="15"/>
              </w:rPr>
              <w:t xml:space="preserve">7</w:t>
            </w:r>
          </w:p>
        </w:tc>
        <w:tc>
          <w:tcPr>
            <w:tcW w:type="dxa" w:w="2474"/>
          </w:tcPr>
          <w:p>
            <w:pPr>
              <w:pStyle w:val="Compact"/>
              <w:jc w:val="left"/>
            </w:pPr>
            <w:r>
              <w:rPr>
                <w:sz w:val="15"/>
              </w:rPr>
              <w:t xml:space="preserve">Research-centre track (Decree 260/2026, Article 8)</w:t>
            </w:r>
          </w:p>
        </w:tc>
        <w:tc>
          <w:tcPr>
            <w:tcW w:type="dxa" w:w="1178"/>
          </w:tcPr>
          <w:p>
            <w:pPr>
              <w:pStyle w:val="Compact"/>
              <w:jc w:val="left"/>
            </w:pPr>
            <w:r>
              <w:rPr>
                <w:sz w:val="15"/>
              </w:rPr>
              <w:t xml:space="preserve">Cross-cutting (listed technologies of any layer)</w:t>
            </w:r>
          </w:p>
        </w:tc>
        <w:tc>
          <w:tcPr>
            <w:tcW w:type="dxa" w:w="2003"/>
          </w:tcPr>
          <w:p>
            <w:pPr>
              <w:pStyle w:val="Compact"/>
              <w:jc w:val="left"/>
            </w:pPr>
            <w:r>
              <w:rPr>
                <w:sz w:val="15"/>
              </w:rPr>
              <w:t xml:space="preserve">Direct (funding of tasks up to 100%, interest support, fee waivers) and indirect (duty exemption, cost deduction)</w:t>
            </w:r>
          </w:p>
        </w:tc>
        <w:tc>
          <w:tcPr>
            <w:tcW w:type="dxa" w:w="3771"/>
          </w:tcPr>
          <w:p>
            <w:pPr>
              <w:pStyle w:val="Compact"/>
              <w:jc w:val="left"/>
            </w:pPr>
            <w:r>
              <w:rPr>
                <w:sz w:val="15"/>
              </w:rPr>
              <w:t xml:space="preserve">At least 60% of workers in R&amp;D (70% for strategic technology); of these at least 85% with a bachelor’s degree and 10% with a master’s (20% and 5% doctorates for strategic technology); R&amp;D spending at least 65% of annual operating expenditure (70%); all proportional ratios</w:t>
            </w:r>
          </w:p>
        </w:tc>
        <w:tc>
          <w:tcPr>
            <w:tcW w:type="dxa" w:w="1532"/>
          </w:tcPr>
          <w:p>
            <w:pPr>
              <w:pStyle w:val="Compact"/>
              <w:jc w:val="left"/>
            </w:pPr>
            <w:r>
              <w:rPr>
                <w:sz w:val="15"/>
              </w:rPr>
              <w:t xml:space="preserve">Not scale-based: ratios restrict the track to purpose-built research institutions</w:t>
            </w:r>
          </w:p>
        </w:tc>
        <w:tc>
          <w:tcPr>
            <w:tcW w:type="dxa" w:w="2003"/>
          </w:tcPr>
          <w:p>
            <w:pPr>
              <w:pStyle w:val="Compact"/>
              <w:jc w:val="left"/>
            </w:pPr>
            <w:r>
              <w:rPr>
                <w:sz w:val="15"/>
              </w:rPr>
              <w:t xml:space="preserve">Staffing and spending ratios</w:t>
            </w:r>
          </w:p>
        </w:tc>
        <w:tc>
          <w:tcPr>
            <w:tcW w:type="dxa" w:w="1532"/>
          </w:tcPr>
          <w:p>
            <w:pPr>
              <w:pStyle w:val="Compact"/>
              <w:jc w:val="left"/>
            </w:pPr>
            <w:r>
              <w:rPr>
                <w:sz w:val="15"/>
              </w:rPr>
              <w:t xml:space="preserve">Decree 260/2026, read in full</w:t>
            </w:r>
          </w:p>
        </w:tc>
      </w:tr>
      <w:tr>
        <w:tc>
          <w:tcPr>
            <w:tcW w:type="dxa" w:w="530"/>
          </w:tcPr>
          <w:p>
            <w:pPr>
              <w:pStyle w:val="Compact"/>
              <w:jc w:val="left"/>
            </w:pPr>
            <w:r>
              <w:rPr>
                <w:sz w:val="15"/>
              </w:rPr>
              <w:t xml:space="preserve">8</w:t>
            </w:r>
          </w:p>
        </w:tc>
        <w:tc>
          <w:tcPr>
            <w:tcW w:type="dxa" w:w="2474"/>
          </w:tcPr>
          <w:p>
            <w:pPr>
              <w:pStyle w:val="Compact"/>
              <w:jc w:val="left"/>
            </w:pPr>
            <w:r>
              <w:rPr>
                <w:sz w:val="15"/>
              </w:rPr>
              <w:t xml:space="preserve">Startup track (Decree 260/2026, Article 11)</w:t>
            </w:r>
          </w:p>
        </w:tc>
        <w:tc>
          <w:tcPr>
            <w:tcW w:type="dxa" w:w="1178"/>
          </w:tcPr>
          <w:p>
            <w:pPr>
              <w:pStyle w:val="Compact"/>
              <w:jc w:val="left"/>
            </w:pPr>
            <w:r>
              <w:rPr>
                <w:sz w:val="15"/>
              </w:rPr>
              <w:t xml:space="preserve">Cross-cutting (listed technologies of any layer)</w:t>
            </w:r>
          </w:p>
        </w:tc>
        <w:tc>
          <w:tcPr>
            <w:tcW w:type="dxa" w:w="2003"/>
          </w:tcPr>
          <w:p>
            <w:pPr>
              <w:pStyle w:val="Compact"/>
              <w:jc w:val="left"/>
            </w:pPr>
            <w:r>
              <w:rPr>
                <w:sz w:val="15"/>
              </w:rPr>
              <w:t xml:space="preserve">Direct: 100% fee exemption for three years then 50% at state research facilities, controlled testing, priority for equity and fundraising support; also indirect</w:t>
            </w:r>
          </w:p>
        </w:tc>
        <w:tc>
          <w:tcPr>
            <w:tcW w:type="dxa" w:w="3771"/>
          </w:tcPr>
          <w:p>
            <w:pPr>
              <w:pStyle w:val="Compact"/>
              <w:jc w:val="left"/>
            </w:pPr>
            <w:r>
              <w:rPr>
                <w:sz w:val="15"/>
              </w:rPr>
              <w:t xml:space="preserve">R&amp;D on listed technology; innovative solution with average revenue growth of at least 20% a year over two consecutive years (firms at least three years old), or ready for commercialisation with a feasible plan; capacity to expand the market. Recognition by the provincial People’s Committee within 40 days, for five years</w:t>
            </w:r>
          </w:p>
        </w:tc>
        <w:tc>
          <w:tcPr>
            <w:tcW w:type="dxa" w:w="1532"/>
          </w:tcPr>
          <w:p>
            <w:pPr>
              <w:pStyle w:val="Compact"/>
              <w:jc w:val="left"/>
            </w:pPr>
            <w:r>
              <w:rPr>
                <w:sz w:val="15"/>
              </w:rPr>
              <w:t xml:space="preserve">Yes: explicit startup track</w:t>
            </w:r>
          </w:p>
        </w:tc>
        <w:tc>
          <w:tcPr>
            <w:tcW w:type="dxa" w:w="2003"/>
          </w:tcPr>
          <w:p>
            <w:pPr>
              <w:pStyle w:val="Compact"/>
              <w:jc w:val="left"/>
            </w:pPr>
            <w:r>
              <w:rPr>
                <w:sz w:val="15"/>
              </w:rPr>
              <w:t xml:space="preserve">Annual report; inspection after 12 months and every two years; revocation for false declarations or 12 months of inactivity</w:t>
            </w:r>
          </w:p>
        </w:tc>
        <w:tc>
          <w:tcPr>
            <w:tcW w:type="dxa" w:w="1532"/>
          </w:tcPr>
          <w:p>
            <w:pPr>
              <w:pStyle w:val="Compact"/>
              <w:jc w:val="left"/>
            </w:pPr>
            <w:r>
              <w:rPr>
                <w:sz w:val="15"/>
              </w:rPr>
              <w:t xml:space="preserve">Decree 260/2026, Article 11</w:t>
            </w:r>
          </w:p>
        </w:tc>
      </w:tr>
      <w:tr>
        <w:tc>
          <w:tcPr>
            <w:tcW w:type="dxa" w:w="530"/>
          </w:tcPr>
          <w:p>
            <w:pPr>
              <w:pStyle w:val="Compact"/>
              <w:jc w:val="left"/>
            </w:pPr>
            <w:r>
              <w:rPr>
                <w:sz w:val="15"/>
              </w:rPr>
              <w:t xml:space="preserve">9</w:t>
            </w:r>
          </w:p>
        </w:tc>
        <w:tc>
          <w:tcPr>
            <w:tcW w:type="dxa" w:w="2474"/>
          </w:tcPr>
          <w:p>
            <w:pPr>
              <w:pStyle w:val="Compact"/>
              <w:jc w:val="left"/>
            </w:pPr>
            <w:r>
              <w:rPr>
                <w:sz w:val="15"/>
              </w:rPr>
              <w:t xml:space="preserve">National Venture Capital Fund priority consideration (startup track benefit)</w:t>
            </w:r>
          </w:p>
        </w:tc>
        <w:tc>
          <w:tcPr>
            <w:tcW w:type="dxa" w:w="1178"/>
          </w:tcPr>
          <w:p>
            <w:pPr>
              <w:pStyle w:val="Compact"/>
              <w:jc w:val="left"/>
            </w:pPr>
            <w:r>
              <w:rPr>
                <w:sz w:val="15"/>
              </w:rPr>
              <w:t xml:space="preserve">Cross-cutting (listed technologies of any layer)</w:t>
            </w:r>
          </w:p>
        </w:tc>
        <w:tc>
          <w:tcPr>
            <w:tcW w:type="dxa" w:w="2003"/>
          </w:tcPr>
          <w:p>
            <w:pPr>
              <w:pStyle w:val="Compact"/>
              <w:jc w:val="left"/>
            </w:pPr>
            <w:r>
              <w:rPr>
                <w:sz w:val="15"/>
              </w:rPr>
              <w:t xml:space="preserve">Direct (equity)</w:t>
            </w:r>
          </w:p>
        </w:tc>
        <w:tc>
          <w:tcPr>
            <w:tcW w:type="dxa" w:w="3771"/>
          </w:tcPr>
          <w:p>
            <w:pPr>
              <w:pStyle w:val="Compact"/>
              <w:jc w:val="left"/>
            </w:pPr>
            <w:r>
              <w:rPr>
                <w:sz w:val="15"/>
              </w:rPr>
              <w:t xml:space="preserve">Priority consideration for co-investment, investment, guarantees and fundraising support, conditional on startup recognition. NATIF is a separate instrument that supports interest on bank loans and does not lend</w:t>
            </w:r>
          </w:p>
        </w:tc>
        <w:tc>
          <w:tcPr>
            <w:tcW w:type="dxa" w:w="1532"/>
          </w:tcPr>
          <w:p>
            <w:pPr>
              <w:pStyle w:val="Compact"/>
              <w:jc w:val="left"/>
            </w:pPr>
            <w:r>
              <w:rPr>
                <w:sz w:val="15"/>
              </w:rPr>
              <w:t xml:space="preserve">Yes</w:t>
            </w:r>
          </w:p>
        </w:tc>
        <w:tc>
          <w:tcPr>
            <w:tcW w:type="dxa" w:w="2003"/>
          </w:tcPr>
          <w:p>
            <w:pPr>
              <w:pStyle w:val="Compact"/>
              <w:jc w:val="left"/>
            </w:pPr>
            <w:r>
              <w:rPr>
                <w:sz w:val="15"/>
              </w:rPr>
              <w:t xml:space="preserve">None beyond recognition</w:t>
            </w:r>
          </w:p>
        </w:tc>
        <w:tc>
          <w:tcPr>
            <w:tcW w:type="dxa" w:w="1532"/>
          </w:tcPr>
          <w:p>
            <w:pPr>
              <w:pStyle w:val="Compact"/>
              <w:jc w:val="left"/>
            </w:pPr>
            <w:r>
              <w:rPr>
                <w:sz w:val="15"/>
              </w:rPr>
              <w:t xml:space="preserve">Decree 260/2026, Articles 4, 5 and 11</w:t>
            </w:r>
          </w:p>
        </w:tc>
      </w:tr>
      <w:tr>
        <w:tc>
          <w:tcPr>
            <w:tcW w:type="dxa" w:w="530"/>
          </w:tcPr>
          <w:p>
            <w:pPr>
              <w:pStyle w:val="Compact"/>
              <w:jc w:val="left"/>
            </w:pPr>
            <w:r>
              <w:rPr>
                <w:sz w:val="15"/>
              </w:rPr>
              <w:t xml:space="preserve">10</w:t>
            </w:r>
          </w:p>
        </w:tc>
        <w:tc>
          <w:tcPr>
            <w:tcW w:type="dxa" w:w="2474"/>
          </w:tcPr>
          <w:p>
            <w:pPr>
              <w:pStyle w:val="Compact"/>
              <w:jc w:val="left"/>
            </w:pPr>
            <w:r>
              <w:rPr>
                <w:sz w:val="15"/>
              </w:rPr>
              <w:t xml:space="preserve">Strategic technology products, Group 1: Vietnamese-language large language models, virtual assistants and specialised AI (item 1)</w:t>
            </w:r>
          </w:p>
        </w:tc>
        <w:tc>
          <w:tcPr>
            <w:tcW w:type="dxa" w:w="1178"/>
          </w:tcPr>
          <w:p>
            <w:pPr>
              <w:pStyle w:val="Compact"/>
              <w:jc w:val="left"/>
            </w:pPr>
            <w:r>
              <w:rPr>
                <w:sz w:val="15"/>
              </w:rPr>
              <w:t xml:space="preserve">(i)</w:t>
            </w:r>
          </w:p>
        </w:tc>
        <w:tc>
          <w:tcPr>
            <w:tcW w:type="dxa" w:w="2003"/>
          </w:tcPr>
          <w:p>
            <w:pPr>
              <w:pStyle w:val="Compact"/>
              <w:jc w:val="left"/>
            </w:pPr>
            <w:r>
              <w:rPr>
                <w:sz w:val="15"/>
              </w:rPr>
              <w:t xml:space="preserve">Designation; no benefit attached in the Decision</w:t>
            </w:r>
          </w:p>
        </w:tc>
        <w:tc>
          <w:tcPr>
            <w:tcW w:type="dxa" w:w="3771"/>
          </w:tcPr>
          <w:p>
            <w:pPr>
              <w:pStyle w:val="Compact"/>
              <w:jc w:val="left"/>
            </w:pPr>
            <w:r>
              <w:rPr>
                <w:sz w:val="15"/>
              </w:rPr>
              <w:t xml:space="preserve">None stated</w:t>
            </w:r>
          </w:p>
        </w:tc>
        <w:tc>
          <w:tcPr>
            <w:tcW w:type="dxa" w:w="1532"/>
          </w:tcPr>
          <w:p>
            <w:pPr>
              <w:pStyle w:val="Compact"/>
              <w:jc w:val="left"/>
            </w:pPr>
            <w:r>
              <w:rPr>
                <w:sz w:val="15"/>
              </w:rPr>
              <w:t xml:space="preserve">Not applicable</w:t>
            </w:r>
          </w:p>
        </w:tc>
        <w:tc>
          <w:tcPr>
            <w:tcW w:type="dxa" w:w="2003"/>
          </w:tcPr>
          <w:p>
            <w:pPr>
              <w:pStyle w:val="Compact"/>
              <w:jc w:val="left"/>
            </w:pPr>
            <w:r>
              <w:rPr>
                <w:sz w:val="15"/>
              </w:rPr>
              <w:t xml:space="preserve">None in the Decision</w:t>
            </w:r>
          </w:p>
        </w:tc>
        <w:tc>
          <w:tcPr>
            <w:tcW w:type="dxa" w:w="1532"/>
          </w:tcPr>
          <w:p>
            <w:pPr>
              <w:pStyle w:val="Compact"/>
              <w:jc w:val="left"/>
            </w:pPr>
            <w:r>
              <w:rPr>
                <w:sz w:val="15"/>
              </w:rPr>
              <w:t xml:space="preserve">Decision 21/2026/QĐ-TTg, Annex II</w:t>
            </w:r>
          </w:p>
        </w:tc>
      </w:tr>
      <w:tr>
        <w:tc>
          <w:tcPr>
            <w:tcW w:type="dxa" w:w="530"/>
          </w:tcPr>
          <w:p>
            <w:pPr>
              <w:pStyle w:val="Compact"/>
              <w:jc w:val="left"/>
            </w:pPr>
            <w:r>
              <w:rPr>
                <w:sz w:val="15"/>
              </w:rPr>
              <w:t xml:space="preserve">11</w:t>
            </w:r>
          </w:p>
        </w:tc>
        <w:tc>
          <w:tcPr>
            <w:tcW w:type="dxa" w:w="2474"/>
          </w:tcPr>
          <w:p>
            <w:pPr>
              <w:pStyle w:val="Compact"/>
              <w:jc w:val="left"/>
            </w:pPr>
            <w:r>
              <w:rPr>
                <w:sz w:val="15"/>
              </w:rPr>
              <w:t xml:space="preserve">Strategic technology products, Group 1: cloud-computing platforms (item 4)</w:t>
            </w:r>
          </w:p>
        </w:tc>
        <w:tc>
          <w:tcPr>
            <w:tcW w:type="dxa" w:w="1178"/>
          </w:tcPr>
          <w:p>
            <w:pPr>
              <w:pStyle w:val="Compact"/>
              <w:jc w:val="left"/>
            </w:pPr>
            <w:r>
              <w:rPr>
                <w:sz w:val="15"/>
              </w:rPr>
              <w:t xml:space="preserve">(ii), scope not defined in the Decision</w:t>
            </w:r>
          </w:p>
        </w:tc>
        <w:tc>
          <w:tcPr>
            <w:tcW w:type="dxa" w:w="2003"/>
          </w:tcPr>
          <w:p>
            <w:pPr>
              <w:pStyle w:val="Compact"/>
              <w:jc w:val="left"/>
            </w:pPr>
            <w:r>
              <w:rPr>
                <w:sz w:val="15"/>
              </w:rPr>
              <w:t xml:space="preserve">Designation</w:t>
            </w:r>
          </w:p>
        </w:tc>
        <w:tc>
          <w:tcPr>
            <w:tcW w:type="dxa" w:w="3771"/>
          </w:tcPr>
          <w:p>
            <w:pPr>
              <w:pStyle w:val="Compact"/>
              <w:jc w:val="left"/>
            </w:pPr>
            <w:r>
              <w:rPr>
                <w:sz w:val="15"/>
              </w:rPr>
              <w:t xml:space="preserve">None stated; the item has no definition</w:t>
            </w:r>
          </w:p>
        </w:tc>
        <w:tc>
          <w:tcPr>
            <w:tcW w:type="dxa" w:w="1532"/>
          </w:tcPr>
          <w:p>
            <w:pPr>
              <w:pStyle w:val="Compact"/>
              <w:jc w:val="left"/>
            </w:pPr>
            <w:r>
              <w:rPr>
                <w:sz w:val="15"/>
              </w:rPr>
              <w:t xml:space="preserve">Not applicable</w:t>
            </w:r>
          </w:p>
        </w:tc>
        <w:tc>
          <w:tcPr>
            <w:tcW w:type="dxa" w:w="2003"/>
          </w:tcPr>
          <w:p>
            <w:pPr>
              <w:pStyle w:val="Compact"/>
              <w:jc w:val="left"/>
            </w:pPr>
            <w:r>
              <w:rPr>
                <w:sz w:val="15"/>
              </w:rPr>
              <w:t xml:space="preserve">None in the Decision</w:t>
            </w:r>
          </w:p>
        </w:tc>
        <w:tc>
          <w:tcPr>
            <w:tcW w:type="dxa" w:w="1532"/>
          </w:tcPr>
          <w:p>
            <w:pPr>
              <w:pStyle w:val="Compact"/>
              <w:jc w:val="left"/>
            </w:pPr>
            <w:r>
              <w:rPr>
                <w:sz w:val="15"/>
              </w:rPr>
              <w:t xml:space="preserve">Decision 21/2026/QĐ-TTg, Annex II</w:t>
            </w:r>
          </w:p>
        </w:tc>
      </w:tr>
      <w:tr>
        <w:tc>
          <w:tcPr>
            <w:tcW w:type="dxa" w:w="530"/>
          </w:tcPr>
          <w:p>
            <w:pPr>
              <w:pStyle w:val="Compact"/>
              <w:jc w:val="left"/>
            </w:pPr>
            <w:r>
              <w:rPr>
                <w:sz w:val="15"/>
              </w:rPr>
              <w:t xml:space="preserve">12</w:t>
            </w:r>
          </w:p>
        </w:tc>
        <w:tc>
          <w:tcPr>
            <w:tcW w:type="dxa" w:w="2474"/>
          </w:tcPr>
          <w:p>
            <w:pPr>
              <w:pStyle w:val="Compact"/>
              <w:jc w:val="left"/>
            </w:pPr>
            <w:r>
              <w:rPr>
                <w:sz w:val="15"/>
              </w:rPr>
              <w:t xml:space="preserve">Strategic technology products, Group 1: edge-processing AI cameras (item 2) and digital-twin platforms (item 3)</w:t>
            </w:r>
          </w:p>
        </w:tc>
        <w:tc>
          <w:tcPr>
            <w:tcW w:type="dxa" w:w="1178"/>
          </w:tcPr>
          <w:p>
            <w:pPr>
              <w:pStyle w:val="Compact"/>
              <w:jc w:val="left"/>
            </w:pPr>
            <w:r>
              <w:rPr>
                <w:sz w:val="15"/>
              </w:rPr>
              <w:t xml:space="preserve">(i)</w:t>
            </w:r>
          </w:p>
        </w:tc>
        <w:tc>
          <w:tcPr>
            <w:tcW w:type="dxa" w:w="2003"/>
          </w:tcPr>
          <w:p>
            <w:pPr>
              <w:pStyle w:val="Compact"/>
              <w:jc w:val="left"/>
            </w:pPr>
            <w:r>
              <w:rPr>
                <w:sz w:val="15"/>
              </w:rPr>
              <w:t xml:space="preserve">Designation</w:t>
            </w:r>
          </w:p>
        </w:tc>
        <w:tc>
          <w:tcPr>
            <w:tcW w:type="dxa" w:w="3771"/>
          </w:tcPr>
          <w:p>
            <w:pPr>
              <w:pStyle w:val="Compact"/>
              <w:jc w:val="left"/>
            </w:pPr>
            <w:r>
              <w:rPr>
                <w:sz w:val="15"/>
              </w:rPr>
              <w:t xml:space="preserve">None stated</w:t>
            </w:r>
          </w:p>
        </w:tc>
        <w:tc>
          <w:tcPr>
            <w:tcW w:type="dxa" w:w="1532"/>
          </w:tcPr>
          <w:p>
            <w:pPr>
              <w:pStyle w:val="Compact"/>
              <w:jc w:val="left"/>
            </w:pPr>
            <w:r>
              <w:rPr>
                <w:sz w:val="15"/>
              </w:rPr>
              <w:t xml:space="preserve">Not applicable</w:t>
            </w:r>
          </w:p>
        </w:tc>
        <w:tc>
          <w:tcPr>
            <w:tcW w:type="dxa" w:w="2003"/>
          </w:tcPr>
          <w:p>
            <w:pPr>
              <w:pStyle w:val="Compact"/>
              <w:jc w:val="left"/>
            </w:pPr>
            <w:r>
              <w:rPr>
                <w:sz w:val="15"/>
              </w:rPr>
              <w:t xml:space="preserve">None in the Decision</w:t>
            </w:r>
          </w:p>
        </w:tc>
        <w:tc>
          <w:tcPr>
            <w:tcW w:type="dxa" w:w="1532"/>
          </w:tcPr>
          <w:p>
            <w:pPr>
              <w:pStyle w:val="Compact"/>
              <w:jc w:val="left"/>
            </w:pPr>
            <w:r>
              <w:rPr>
                <w:sz w:val="15"/>
              </w:rPr>
              <w:t xml:space="preserve">Decision 21/2026/QĐ-TTg, Annex II</w:t>
            </w:r>
          </w:p>
        </w:tc>
      </w:tr>
      <w:tr>
        <w:tc>
          <w:tcPr>
            <w:tcW w:type="dxa" w:w="530"/>
          </w:tcPr>
          <w:p>
            <w:pPr>
              <w:pStyle w:val="Compact"/>
              <w:jc w:val="left"/>
            </w:pPr>
            <w:r>
              <w:rPr>
                <w:sz w:val="15"/>
              </w:rPr>
              <w:t xml:space="preserve">13</w:t>
            </w:r>
          </w:p>
        </w:tc>
        <w:tc>
          <w:tcPr>
            <w:tcW w:type="dxa" w:w="2474"/>
          </w:tcPr>
          <w:p>
            <w:pPr>
              <w:pStyle w:val="Compact"/>
              <w:jc w:val="left"/>
            </w:pPr>
            <w:r>
              <w:rPr>
                <w:sz w:val="15"/>
              </w:rPr>
              <w:t xml:space="preserve">Strategic technology products, Group 2: specialised chips</w:t>
            </w:r>
          </w:p>
        </w:tc>
        <w:tc>
          <w:tcPr>
            <w:tcW w:type="dxa" w:w="1178"/>
          </w:tcPr>
          <w:p>
            <w:pPr>
              <w:pStyle w:val="Compact"/>
              <w:jc w:val="left"/>
            </w:pPr>
            <w:r>
              <w:rPr>
                <w:sz w:val="15"/>
              </w:rPr>
              <w:t xml:space="preserve">(iv)</w:t>
            </w:r>
          </w:p>
        </w:tc>
        <w:tc>
          <w:tcPr>
            <w:tcW w:type="dxa" w:w="2003"/>
          </w:tcPr>
          <w:p>
            <w:pPr>
              <w:pStyle w:val="Compact"/>
              <w:jc w:val="left"/>
            </w:pPr>
            <w:r>
              <w:rPr>
                <w:sz w:val="15"/>
              </w:rPr>
              <w:t xml:space="preserve">Designation</w:t>
            </w:r>
          </w:p>
        </w:tc>
        <w:tc>
          <w:tcPr>
            <w:tcW w:type="dxa" w:w="3771"/>
          </w:tcPr>
          <w:p>
            <w:pPr>
              <w:pStyle w:val="Compact"/>
              <w:jc w:val="left"/>
            </w:pPr>
            <w:r>
              <w:rPr>
                <w:sz w:val="15"/>
              </w:rPr>
              <w:t xml:space="preserve">None stated</w:t>
            </w:r>
          </w:p>
        </w:tc>
        <w:tc>
          <w:tcPr>
            <w:tcW w:type="dxa" w:w="1532"/>
          </w:tcPr>
          <w:p>
            <w:pPr>
              <w:pStyle w:val="Compact"/>
              <w:jc w:val="left"/>
            </w:pPr>
            <w:r>
              <w:rPr>
                <w:sz w:val="15"/>
              </w:rPr>
              <w:t xml:space="preserve">Not applicable</w:t>
            </w:r>
          </w:p>
        </w:tc>
        <w:tc>
          <w:tcPr>
            <w:tcW w:type="dxa" w:w="2003"/>
          </w:tcPr>
          <w:p>
            <w:pPr>
              <w:pStyle w:val="Compact"/>
              <w:jc w:val="left"/>
            </w:pPr>
            <w:r>
              <w:rPr>
                <w:sz w:val="15"/>
              </w:rPr>
              <w:t xml:space="preserve">None in the Decision</w:t>
            </w:r>
          </w:p>
        </w:tc>
        <w:tc>
          <w:tcPr>
            <w:tcW w:type="dxa" w:w="1532"/>
          </w:tcPr>
          <w:p>
            <w:pPr>
              <w:pStyle w:val="Compact"/>
              <w:jc w:val="left"/>
            </w:pPr>
            <w:r>
              <w:rPr>
                <w:sz w:val="15"/>
              </w:rPr>
              <w:t xml:space="preserve">Decision 21/2026/QĐ-TTg, Annex II</w:t>
            </w:r>
          </w:p>
        </w:tc>
      </w:tr>
      <w:tr>
        <w:tc>
          <w:tcPr>
            <w:tcW w:type="dxa" w:w="530"/>
          </w:tcPr>
          <w:p>
            <w:pPr>
              <w:pStyle w:val="Compact"/>
              <w:jc w:val="left"/>
            </w:pPr>
            <w:r>
              <w:rPr>
                <w:sz w:val="15"/>
              </w:rPr>
              <w:t xml:space="preserve">24</w:t>
            </w:r>
          </w:p>
        </w:tc>
        <w:tc>
          <w:tcPr>
            <w:tcW w:type="dxa" w:w="2474"/>
          </w:tcPr>
          <w:p>
            <w:pPr>
              <w:pStyle w:val="Compact"/>
              <w:jc w:val="left"/>
            </w:pPr>
            <w:r>
              <w:rPr>
                <w:sz w:val="15"/>
              </w:rPr>
              <w:t xml:space="preserve">Technology-infrastructure support, including computing and data infrastructure (Decree 260/2026, Articles 3, 4(6), 5(6))</w:t>
            </w:r>
          </w:p>
        </w:tc>
        <w:tc>
          <w:tcPr>
            <w:tcW w:type="dxa" w:w="1178"/>
          </w:tcPr>
          <w:p>
            <w:pPr>
              <w:pStyle w:val="Compact"/>
              <w:jc w:val="left"/>
            </w:pPr>
            <w:r>
              <w:rPr>
                <w:sz w:val="15"/>
              </w:rPr>
              <w:t xml:space="preserve">Cross-cutting (technology infrastructure, of which computing and data is one kind)</w:t>
            </w:r>
          </w:p>
        </w:tc>
        <w:tc>
          <w:tcPr>
            <w:tcW w:type="dxa" w:w="2003"/>
          </w:tcPr>
          <w:p>
            <w:pPr>
              <w:pStyle w:val="Compact"/>
              <w:jc w:val="left"/>
            </w:pPr>
            <w:r>
              <w:rPr>
                <w:sz w:val="15"/>
              </w:rPr>
              <w:t xml:space="preserve">Indirect (cost deductible for corporate income tax) and State support of unspecified form</w:t>
            </w:r>
          </w:p>
        </w:tc>
        <w:tc>
          <w:tcPr>
            <w:tcW w:type="dxa" w:w="3771"/>
          </w:tcPr>
          <w:p>
            <w:pPr>
              <w:pStyle w:val="Compact"/>
              <w:jc w:val="left"/>
            </w:pPr>
            <w:r>
              <w:rPr>
                <w:sz w:val="15"/>
              </w:rPr>
              <w:t xml:space="preserve">None stated</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None stated</w:t>
            </w:r>
          </w:p>
        </w:tc>
        <w:tc>
          <w:tcPr>
            <w:tcW w:type="dxa" w:w="1532"/>
          </w:tcPr>
          <w:p>
            <w:pPr>
              <w:pStyle w:val="Compact"/>
              <w:jc w:val="left"/>
            </w:pPr>
            <w:r>
              <w:rPr>
                <w:sz w:val="15"/>
              </w:rPr>
              <w:t xml:space="preserve">Decree 260/2026; coverage of a small commercial provider not confirmed</w:t>
            </w:r>
          </w:p>
        </w:tc>
      </w:tr>
      <w:tr>
        <w:tc>
          <w:tcPr>
            <w:tcW w:type="dxa" w:w="530"/>
          </w:tcPr>
          <w:p>
            <w:pPr>
              <w:pStyle w:val="Compact"/>
              <w:jc w:val="left"/>
            </w:pPr>
            <w:r>
              <w:rPr>
                <w:sz w:val="15"/>
              </w:rPr>
              <w:t xml:space="preserve">25</w:t>
            </w:r>
          </w:p>
        </w:tc>
        <w:tc>
          <w:tcPr>
            <w:tcW w:type="dxa" w:w="2474"/>
          </w:tcPr>
          <w:p>
            <w:pPr>
              <w:pStyle w:val="Compact"/>
              <w:jc w:val="left"/>
            </w:pPr>
            <w:r>
              <w:rPr>
                <w:sz w:val="15"/>
              </w:rPr>
              <w:t xml:space="preserve">Strategic-technology enterprise criteria (Decree 260/2026, Article 16)</w:t>
            </w:r>
          </w:p>
        </w:tc>
        <w:tc>
          <w:tcPr>
            <w:tcW w:type="dxa" w:w="1178"/>
          </w:tcPr>
          <w:p>
            <w:pPr>
              <w:pStyle w:val="Compact"/>
              <w:jc w:val="left"/>
            </w:pPr>
            <w:r>
              <w:rPr>
                <w:sz w:val="15"/>
              </w:rPr>
              <w:t xml:space="preserve">Cross-cutting</w:t>
            </w:r>
          </w:p>
        </w:tc>
        <w:tc>
          <w:tcPr>
            <w:tcW w:type="dxa" w:w="2003"/>
          </w:tcPr>
          <w:p>
            <w:pPr>
              <w:pStyle w:val="Compact"/>
              <w:jc w:val="left"/>
            </w:pPr>
            <w:r>
              <w:rPr>
                <w:sz w:val="15"/>
              </w:rPr>
              <w:t xml:space="preserve">Direct: land-rent exemption for the whole lease on land used for strategic products and research (Article 12(3)); further benefits through other instruments</w:t>
            </w:r>
          </w:p>
        </w:tc>
        <w:tc>
          <w:tcPr>
            <w:tcW w:type="dxa" w:w="3771"/>
          </w:tcPr>
          <w:p>
            <w:pPr>
              <w:pStyle w:val="Compact"/>
              <w:jc w:val="left"/>
            </w:pPr>
            <w:r>
              <w:rPr>
                <w:sz w:val="15"/>
              </w:rPr>
              <w:t xml:space="preserve">At least 80% of annual net revenue from strategic products; R&amp;D spending in Vietnam at least 1% of net revenue less inputs; R&amp;D staff with college degrees or above at least 10% of the workforce; local content at least 40%; all proportional</w:t>
            </w:r>
          </w:p>
        </w:tc>
        <w:tc>
          <w:tcPr>
            <w:tcW w:type="dxa" w:w="1532"/>
          </w:tcPr>
          <w:p>
            <w:pPr>
              <w:pStyle w:val="Compact"/>
              <w:jc w:val="left"/>
            </w:pPr>
            <w:r>
              <w:rPr>
                <w:sz w:val="15"/>
              </w:rPr>
              <w:t xml:space="preserve">Not scale-based (proportional ratios), but the revenue condition presupposes a product already earning revenue</w:t>
            </w:r>
          </w:p>
        </w:tc>
        <w:tc>
          <w:tcPr>
            <w:tcW w:type="dxa" w:w="2003"/>
          </w:tcPr>
          <w:p>
            <w:pPr>
              <w:pStyle w:val="Compact"/>
              <w:jc w:val="left"/>
            </w:pPr>
            <w:r>
              <w:rPr>
                <w:sz w:val="15"/>
              </w:rPr>
              <w:t xml:space="preserve">Verification and inspection under Article 17</w:t>
            </w:r>
          </w:p>
        </w:tc>
        <w:tc>
          <w:tcPr>
            <w:tcW w:type="dxa" w:w="1532"/>
          </w:tcPr>
          <w:p>
            <w:pPr>
              <w:pStyle w:val="Compact"/>
              <w:jc w:val="left"/>
            </w:pPr>
            <w:r>
              <w:rPr>
                <w:sz w:val="15"/>
              </w:rPr>
              <w:t xml:space="preserve">Decree 260/2026, Article 16</w:t>
            </w:r>
          </w:p>
        </w:tc>
      </w:tr>
      <w:tr>
        <w:tc>
          <w:tcPr>
            <w:tcW w:type="dxa" w:w="530"/>
          </w:tcPr>
          <w:p>
            <w:pPr>
              <w:pStyle w:val="Compact"/>
              <w:jc w:val="left"/>
            </w:pPr>
            <w:r>
              <w:rPr>
                <w:sz w:val="15"/>
              </w:rPr>
              <w:t xml:space="preserve">26</w:t>
            </w:r>
          </w:p>
        </w:tc>
        <w:tc>
          <w:tcPr>
            <w:tcW w:type="dxa" w:w="2474"/>
          </w:tcPr>
          <w:p>
            <w:pPr>
              <w:pStyle w:val="Compact"/>
              <w:jc w:val="left"/>
            </w:pPr>
            <w:r>
              <w:rPr>
                <w:sz w:val="15"/>
              </w:rPr>
              <w:t xml:space="preserve">High-technology enterprise ratios (Decree 260/2026, Articles 14 and 15, Group 2)</w:t>
            </w:r>
          </w:p>
        </w:tc>
        <w:tc>
          <w:tcPr>
            <w:tcW w:type="dxa" w:w="1178"/>
          </w:tcPr>
          <w:p>
            <w:pPr>
              <w:pStyle w:val="Compact"/>
              <w:jc w:val="left"/>
            </w:pPr>
            <w:r>
              <w:rPr>
                <w:sz w:val="15"/>
              </w:rPr>
              <w:t xml:space="preserve">Cross-cutting</w:t>
            </w:r>
          </w:p>
        </w:tc>
        <w:tc>
          <w:tcPr>
            <w:tcW w:type="dxa" w:w="2003"/>
          </w:tcPr>
          <w:p>
            <w:pPr>
              <w:pStyle w:val="Compact"/>
              <w:jc w:val="left"/>
            </w:pPr>
            <w:r>
              <w:rPr>
                <w:sz w:val="15"/>
              </w:rPr>
              <w:t xml:space="preserve">Eligibility status</w:t>
            </w:r>
          </w:p>
        </w:tc>
        <w:tc>
          <w:tcPr>
            <w:tcW w:type="dxa" w:w="3771"/>
          </w:tcPr>
          <w:p>
            <w:pPr>
              <w:pStyle w:val="Compact"/>
              <w:jc w:val="left"/>
            </w:pPr>
            <w:r>
              <w:rPr>
                <w:sz w:val="15"/>
              </w:rPr>
              <w:t xml:space="preserve">R&amp;D spending of at least 0.5% of net revenue less inputs where total capital is VND 6,000bn or more, 1% where it is VND 100bn or more, 2% otherwise; research staff of at least 1%, 2.5% or 5% of the workforce on the same tiers; basis firm size, ratios fall as the firm grows</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Ratio compliance</w:t>
            </w:r>
          </w:p>
        </w:tc>
        <w:tc>
          <w:tcPr>
            <w:tcW w:type="dxa" w:w="1532"/>
          </w:tcPr>
          <w:p>
            <w:pPr>
              <w:pStyle w:val="Compact"/>
              <w:jc w:val="left"/>
            </w:pPr>
            <w:r>
              <w:rPr>
                <w:sz w:val="15"/>
              </w:rPr>
              <w:t xml:space="preserve">Decree 260/2026, Articles 14 and 15</w:t>
            </w:r>
          </w:p>
        </w:tc>
      </w:tr>
    </w:tbl>
    <w:bookmarkEnd w:id="23"/>
    <w:bookmarkStart w:id="24" w:name="malaysia"/>
    <w:p>
      <w:pPr>
        <w:pStyle w:val="Heading3"/>
      </w:pPr>
      <w:r>
        <w:t xml:space="preserve">Malaysia</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530"/>
        <w:gridCol w:w="2474"/>
        <w:gridCol w:w="1178"/>
        <w:gridCol w:w="2003"/>
        <w:gridCol w:w="3770"/>
        <w:gridCol w:w="1531"/>
        <w:gridCol w:w="2003"/>
        <w:gridCol w:w="1531"/>
      </w:tblGrid>
      <w:tr>
        <w:trPr>
          <w:tblHeader w:val="true"/>
        </w:trPr>
        <w:tc>
          <w:tcPr>
            <w:tcW w:type="dxa" w:w="530"/>
          </w:tcPr>
          <w:p>
            <w:pPr>
              <w:pStyle w:val="Compact"/>
              <w:jc w:val="left"/>
            </w:pPr>
            <w:r>
              <w:rPr>
                <w:b/>
                <w:sz w:val="15"/>
              </w:rPr>
              <w:t xml:space="preserve">No.</w:t>
            </w:r>
          </w:p>
        </w:tc>
        <w:tc>
          <w:tcPr>
            <w:tcW w:type="dxa" w:w="2474"/>
          </w:tcPr>
          <w:p>
            <w:pPr>
              <w:pStyle w:val="Compact"/>
              <w:jc w:val="left"/>
            </w:pPr>
            <w:r>
              <w:rPr>
                <w:b/>
                <w:sz w:val="15"/>
              </w:rPr>
              <w:t xml:space="preserve">Instrument</w:t>
            </w:r>
          </w:p>
        </w:tc>
        <w:tc>
          <w:tcPr>
            <w:tcW w:type="dxa" w:w="1178"/>
          </w:tcPr>
          <w:p>
            <w:pPr>
              <w:pStyle w:val="Compact"/>
              <w:jc w:val="left"/>
            </w:pPr>
            <w:r>
              <w:rPr>
                <w:b/>
                <w:sz w:val="15"/>
              </w:rPr>
              <w:t xml:space="preserve">Layer</w:t>
            </w:r>
          </w:p>
        </w:tc>
        <w:tc>
          <w:tcPr>
            <w:tcW w:type="dxa" w:w="2003"/>
          </w:tcPr>
          <w:p>
            <w:pPr>
              <w:pStyle w:val="Compact"/>
              <w:jc w:val="left"/>
            </w:pPr>
            <w:r>
              <w:rPr>
                <w:b/>
                <w:sz w:val="15"/>
              </w:rPr>
              <w:t xml:space="preserve">Delivery</w:t>
            </w:r>
          </w:p>
        </w:tc>
        <w:tc>
          <w:tcPr>
            <w:tcW w:type="dxa" w:w="3771"/>
          </w:tcPr>
          <w:p>
            <w:pPr>
              <w:pStyle w:val="Compact"/>
              <w:jc w:val="left"/>
            </w:pPr>
            <w:r>
              <w:rPr>
                <w:b/>
                <w:sz w:val="15"/>
              </w:rPr>
              <w:t xml:space="preserve">Threshold and basis</w:t>
            </w:r>
          </w:p>
        </w:tc>
        <w:tc>
          <w:tcPr>
            <w:tcW w:type="dxa" w:w="1532"/>
          </w:tcPr>
          <w:p>
            <w:pPr>
              <w:pStyle w:val="Compact"/>
              <w:jc w:val="left"/>
            </w:pPr>
            <w:r>
              <w:rPr>
                <w:b/>
                <w:sz w:val="15"/>
              </w:rPr>
              <w:t xml:space="preserve">New-firm accommodation</w:t>
            </w:r>
          </w:p>
        </w:tc>
        <w:tc>
          <w:tcPr>
            <w:tcW w:type="dxa" w:w="2003"/>
          </w:tcPr>
          <w:p>
            <w:pPr>
              <w:pStyle w:val="Compact"/>
              <w:jc w:val="left"/>
            </w:pPr>
            <w:r>
              <w:rPr>
                <w:b/>
                <w:sz w:val="15"/>
              </w:rPr>
              <w:t xml:space="preserve">Recurring compliance</w:t>
            </w:r>
          </w:p>
        </w:tc>
        <w:tc>
          <w:tcPr>
            <w:tcW w:type="dxa" w:w="1532"/>
          </w:tcPr>
          <w:p>
            <w:pPr>
              <w:pStyle w:val="Compact"/>
              <w:jc w:val="left"/>
            </w:pPr>
            <w:r>
              <w:rPr>
                <w:b/>
                <w:sz w:val="15"/>
              </w:rPr>
              <w:t xml:space="preserve">Verification</w:t>
            </w:r>
          </w:p>
        </w:tc>
      </w:tr>
      <w:tr>
        <w:tc>
          <w:tcPr>
            <w:tcW w:type="dxa" w:w="530"/>
          </w:tcPr>
          <w:p>
            <w:pPr>
              <w:pStyle w:val="Compact"/>
              <w:jc w:val="left"/>
            </w:pPr>
            <w:r>
              <w:rPr>
                <w:sz w:val="15"/>
              </w:rPr>
              <w:t xml:space="preserve">14</w:t>
            </w:r>
          </w:p>
        </w:tc>
        <w:tc>
          <w:tcPr>
            <w:tcW w:type="dxa" w:w="2474"/>
          </w:tcPr>
          <w:p>
            <w:pPr>
              <w:pStyle w:val="Compact"/>
              <w:jc w:val="left"/>
            </w:pPr>
            <w:r>
              <w:rPr>
                <w:sz w:val="15"/>
              </w:rPr>
              <w:t xml:space="preserve">Malaysia Digital (MD) New Investment Incentive, covering ten technology enablers including AI and big data and cloud</w:t>
            </w:r>
          </w:p>
        </w:tc>
        <w:tc>
          <w:tcPr>
            <w:tcW w:type="dxa" w:w="1178"/>
          </w:tcPr>
          <w:p>
            <w:pPr>
              <w:pStyle w:val="Compact"/>
              <w:jc w:val="left"/>
            </w:pPr>
            <w:r>
              <w:rPr>
                <w:sz w:val="15"/>
              </w:rPr>
              <w:t xml:space="preserve">Cross-cutting (ten enablers across layers (i) and (ii))</w:t>
            </w:r>
          </w:p>
        </w:tc>
        <w:tc>
          <w:tcPr>
            <w:tcW w:type="dxa" w:w="2003"/>
          </w:tcPr>
          <w:p>
            <w:pPr>
              <w:pStyle w:val="Compact"/>
              <w:jc w:val="left"/>
            </w:pPr>
            <w:r>
              <w:rPr>
                <w:sz w:val="15"/>
              </w:rPr>
              <w:t xml:space="preserve">Indirect: reduced tax rate or investment tax allowance for ten years</w:t>
            </w:r>
          </w:p>
        </w:tc>
        <w:tc>
          <w:tcPr>
            <w:tcW w:type="dxa" w:w="3771"/>
          </w:tcPr>
          <w:p>
            <w:pPr>
              <w:pStyle w:val="Compact"/>
              <w:jc w:val="left"/>
            </w:pPr>
            <w:r>
              <w:rPr>
                <w:sz w:val="15"/>
              </w:rPr>
              <w:t xml:space="preserve">Malaysian-resident company with at least RM50,000 paid-up capital (about US$11,000; company capital); new activity with no prior sales invoice; adequate full-time staff, including knowledge workers at RM5,000 a month or more</w:t>
            </w:r>
          </w:p>
        </w:tc>
        <w:tc>
          <w:tcPr>
            <w:tcW w:type="dxa" w:w="1532"/>
          </w:tcPr>
          <w:p>
            <w:pPr>
              <w:pStyle w:val="Compact"/>
              <w:jc w:val="left"/>
            </w:pPr>
            <w:r>
              <w:rPr>
                <w:sz w:val="15"/>
              </w:rPr>
              <w:t xml:space="preserve">No: a low capital floor is recorded as a threshold</w:t>
            </w:r>
          </w:p>
        </w:tc>
        <w:tc>
          <w:tcPr>
            <w:tcW w:type="dxa" w:w="2003"/>
          </w:tcPr>
          <w:p>
            <w:pPr>
              <w:pStyle w:val="Compact"/>
              <w:jc w:val="left"/>
            </w:pPr>
            <w:r>
              <w:rPr>
                <w:sz w:val="15"/>
              </w:rPr>
              <w:t xml:space="preserve">Annual self-declaration within seven months of year end, verified by an external auditor appointed at the company’s own cost (fixed cost)</w:t>
            </w:r>
          </w:p>
        </w:tc>
        <w:tc>
          <w:tcPr>
            <w:tcW w:type="dxa" w:w="1532"/>
          </w:tcPr>
          <w:p>
            <w:pPr>
              <w:pStyle w:val="Compact"/>
              <w:jc w:val="left"/>
            </w:pPr>
            <w:r>
              <w:rPr>
                <w:sz w:val="15"/>
              </w:rPr>
              <w:t xml:space="preserve">MDEC guideline, revised July 2025</w:t>
            </w:r>
          </w:p>
        </w:tc>
      </w:tr>
      <w:tr>
        <w:tc>
          <w:tcPr>
            <w:tcW w:type="dxa" w:w="530"/>
          </w:tcPr>
          <w:p>
            <w:pPr>
              <w:pStyle w:val="Compact"/>
              <w:jc w:val="left"/>
            </w:pPr>
            <w:r>
              <w:rPr>
                <w:sz w:val="15"/>
              </w:rPr>
              <w:t xml:space="preserve">15</w:t>
            </w:r>
          </w:p>
        </w:tc>
        <w:tc>
          <w:tcPr>
            <w:tcW w:type="dxa" w:w="2474"/>
          </w:tcPr>
          <w:p>
            <w:pPr>
              <w:pStyle w:val="Compact"/>
              <w:jc w:val="left"/>
            </w:pPr>
            <w:r>
              <w:rPr>
                <w:sz w:val="15"/>
              </w:rPr>
              <w:t xml:space="preserve">Digital Ecosystem Acceleration (DESAC): capitalisation floor, both tiers</w:t>
            </w:r>
          </w:p>
        </w:tc>
        <w:tc>
          <w:tcPr>
            <w:tcW w:type="dxa" w:w="1178"/>
          </w:tcPr>
          <w:p>
            <w:pPr>
              <w:pStyle w:val="Compact"/>
              <w:jc w:val="left"/>
            </w:pPr>
            <w:r>
              <w:rPr>
                <w:sz w:val="15"/>
              </w:rPr>
              <w:t xml:space="preserve">(ii)+(iii)</w:t>
            </w:r>
          </w:p>
        </w:tc>
        <w:tc>
          <w:tcPr>
            <w:tcW w:type="dxa" w:w="2003"/>
          </w:tcPr>
          <w:p>
            <w:pPr>
              <w:pStyle w:val="Compact"/>
              <w:jc w:val="left"/>
            </w:pPr>
            <w:r>
              <w:rPr>
                <w:sz w:val="15"/>
              </w:rPr>
              <w:t xml:space="preserve">Indirect: investment tax allowance of 100% (Tier 1) or 60% (Tier 2) on qualifying capital expenditure excluding land, for five or ten years, or special tax rate of 10% or 15%</w:t>
            </w:r>
          </w:p>
        </w:tc>
        <w:tc>
          <w:tcPr>
            <w:tcW w:type="dxa" w:w="3771"/>
          </w:tcPr>
          <w:p>
            <w:pPr>
              <w:pStyle w:val="Compact"/>
              <w:jc w:val="left"/>
            </w:pPr>
            <w:r>
              <w:rPr>
                <w:sz w:val="15"/>
              </w:rPr>
              <w:t xml:space="preserve">Paid-up capital of at least RM2.5m (about US$550,000; company capital, not project scale)</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External auditor verification of compliance; annual report for the special-rate option</w:t>
            </w:r>
          </w:p>
        </w:tc>
        <w:tc>
          <w:tcPr>
            <w:tcW w:type="dxa" w:w="1532"/>
          </w:tcPr>
          <w:p>
            <w:pPr>
              <w:pStyle w:val="Compact"/>
              <w:jc w:val="left"/>
            </w:pPr>
            <w:r>
              <w:rPr>
                <w:sz w:val="15"/>
              </w:rPr>
              <w:t xml:space="preserve">MIDA DESAC guideline (December 2024)</w:t>
            </w:r>
          </w:p>
        </w:tc>
      </w:tr>
      <w:tr>
        <w:tc>
          <w:tcPr>
            <w:tcW w:type="dxa" w:w="530"/>
          </w:tcPr>
          <w:p>
            <w:pPr>
              <w:pStyle w:val="Compact"/>
              <w:jc w:val="left"/>
            </w:pPr>
            <w:r>
              <w:rPr>
                <w:sz w:val="15"/>
              </w:rPr>
              <w:t xml:space="preserve">16</w:t>
            </w:r>
          </w:p>
        </w:tc>
        <w:tc>
          <w:tcPr>
            <w:tcW w:type="dxa" w:w="2474"/>
          </w:tcPr>
          <w:p>
            <w:pPr>
              <w:pStyle w:val="Compact"/>
              <w:jc w:val="left"/>
            </w:pPr>
            <w:r>
              <w:rPr>
                <w:sz w:val="15"/>
              </w:rPr>
              <w:t xml:space="preserve">DESAC ten-year option</w:t>
            </w:r>
          </w:p>
        </w:tc>
        <w:tc>
          <w:tcPr>
            <w:tcW w:type="dxa" w:w="1178"/>
          </w:tcPr>
          <w:p>
            <w:pPr>
              <w:pStyle w:val="Compact"/>
              <w:jc w:val="left"/>
            </w:pPr>
            <w:r>
              <w:rPr>
                <w:sz w:val="15"/>
              </w:rPr>
              <w:t xml:space="preserve">(ii)+(iii)</w:t>
            </w:r>
          </w:p>
        </w:tc>
        <w:tc>
          <w:tcPr>
            <w:tcW w:type="dxa" w:w="2003"/>
          </w:tcPr>
          <w:p>
            <w:pPr>
              <w:pStyle w:val="Compact"/>
              <w:jc w:val="left"/>
            </w:pPr>
            <w:r>
              <w:rPr>
                <w:sz w:val="15"/>
              </w:rPr>
              <w:t xml:space="preserve">Indirect</w:t>
            </w:r>
          </w:p>
        </w:tc>
        <w:tc>
          <w:tcPr>
            <w:tcW w:type="dxa" w:w="3771"/>
          </w:tcPr>
          <w:p>
            <w:pPr>
              <w:pStyle w:val="Compact"/>
              <w:jc w:val="left"/>
            </w:pPr>
            <w:r>
              <w:rPr>
                <w:sz w:val="15"/>
              </w:rPr>
              <w:t xml:space="preserve">Cumulative capital expenditure of at least RM1bn (about US$220m) in years six to ten; for existing companies expanding, Tier 1 adds RM300m over five years</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As row 15</w:t>
            </w:r>
          </w:p>
        </w:tc>
        <w:tc>
          <w:tcPr>
            <w:tcW w:type="dxa" w:w="1532"/>
          </w:tcPr>
          <w:p>
            <w:pPr>
              <w:pStyle w:val="Compact"/>
              <w:jc w:val="left"/>
            </w:pPr>
            <w:r>
              <w:rPr>
                <w:sz w:val="15"/>
              </w:rPr>
              <w:t xml:space="preserve">MIDA DESAC guideline</w:t>
            </w:r>
          </w:p>
        </w:tc>
      </w:tr>
      <w:tr>
        <w:tc>
          <w:tcPr>
            <w:tcW w:type="dxa" w:w="530"/>
          </w:tcPr>
          <w:p>
            <w:pPr>
              <w:pStyle w:val="Compact"/>
              <w:jc w:val="left"/>
            </w:pPr>
            <w:r>
              <w:rPr>
                <w:sz w:val="15"/>
              </w:rPr>
              <w:t xml:space="preserve">17</w:t>
            </w:r>
          </w:p>
        </w:tc>
        <w:tc>
          <w:tcPr>
            <w:tcW w:type="dxa" w:w="2474"/>
          </w:tcPr>
          <w:p>
            <w:pPr>
              <w:pStyle w:val="Compact"/>
              <w:jc w:val="left"/>
            </w:pPr>
            <w:r>
              <w:rPr>
                <w:sz w:val="15"/>
              </w:rPr>
              <w:t xml:space="preserve">DESAC workforce conditions</w:t>
            </w:r>
          </w:p>
        </w:tc>
        <w:tc>
          <w:tcPr>
            <w:tcW w:type="dxa" w:w="1178"/>
          </w:tcPr>
          <w:p>
            <w:pPr>
              <w:pStyle w:val="Compact"/>
              <w:jc w:val="left"/>
            </w:pPr>
            <w:r>
              <w:rPr>
                <w:sz w:val="15"/>
              </w:rPr>
              <w:t xml:space="preserve">(ii)+(iii)</w:t>
            </w:r>
          </w:p>
        </w:tc>
        <w:tc>
          <w:tcPr>
            <w:tcW w:type="dxa" w:w="2003"/>
          </w:tcPr>
          <w:p>
            <w:pPr>
              <w:pStyle w:val="Compact"/>
              <w:jc w:val="left"/>
            </w:pPr>
            <w:r>
              <w:rPr>
                <w:sz w:val="15"/>
              </w:rPr>
              <w:t xml:space="preserve">Indirect (attached condition)</w:t>
            </w:r>
          </w:p>
        </w:tc>
        <w:tc>
          <w:tcPr>
            <w:tcW w:type="dxa" w:w="3771"/>
          </w:tcPr>
          <w:p>
            <w:pPr>
              <w:pStyle w:val="Compact"/>
              <w:jc w:val="left"/>
            </w:pPr>
            <w:r>
              <w:rPr>
                <w:sz w:val="15"/>
              </w:rPr>
              <w:t xml:space="preserve">Tier 2: full-time Malaysian staff earning at least RM5,000 a month making up at least half of manpower; Tier 1 adds high-value jobs of RM10,000 a month or more and at least three local vendor programmes</w:t>
            </w:r>
          </w:p>
        </w:tc>
        <w:tc>
          <w:tcPr>
            <w:tcW w:type="dxa" w:w="1532"/>
          </w:tcPr>
          <w:p>
            <w:pPr>
              <w:pStyle w:val="Compact"/>
              <w:jc w:val="left"/>
            </w:pPr>
            <w:r>
              <w:rPr>
                <w:sz w:val="15"/>
              </w:rPr>
              <w:t xml:space="preserve">Not scale-based: proportional requirement</w:t>
            </w:r>
          </w:p>
        </w:tc>
        <w:tc>
          <w:tcPr>
            <w:tcW w:type="dxa" w:w="2003"/>
          </w:tcPr>
          <w:p>
            <w:pPr>
              <w:pStyle w:val="Compact"/>
              <w:jc w:val="left"/>
            </w:pPr>
            <w:r>
              <w:rPr>
                <w:sz w:val="15"/>
              </w:rPr>
              <w:t xml:space="preserve">Staffing-ratio compliance</w:t>
            </w:r>
          </w:p>
        </w:tc>
        <w:tc>
          <w:tcPr>
            <w:tcW w:type="dxa" w:w="1532"/>
          </w:tcPr>
          <w:p>
            <w:pPr>
              <w:pStyle w:val="Compact"/>
              <w:jc w:val="left"/>
            </w:pPr>
            <w:r>
              <w:rPr>
                <w:sz w:val="15"/>
              </w:rPr>
              <w:t xml:space="preserve">MIDA DESAC guideline</w:t>
            </w:r>
          </w:p>
        </w:tc>
      </w:tr>
      <w:tr>
        <w:tc>
          <w:tcPr>
            <w:tcW w:type="dxa" w:w="530"/>
          </w:tcPr>
          <w:p>
            <w:pPr>
              <w:pStyle w:val="Compact"/>
              <w:jc w:val="left"/>
            </w:pPr>
            <w:r>
              <w:rPr>
                <w:sz w:val="15"/>
              </w:rPr>
              <w:t xml:space="preserve">23</w:t>
            </w:r>
          </w:p>
        </w:tc>
        <w:tc>
          <w:tcPr>
            <w:tcW w:type="dxa" w:w="2474"/>
          </w:tcPr>
          <w:p>
            <w:pPr>
              <w:pStyle w:val="Compact"/>
              <w:jc w:val="left"/>
            </w:pPr>
            <w:r>
              <w:rPr>
                <w:sz w:val="15"/>
              </w:rPr>
              <w:t xml:space="preserve">Data-centre categories in the sustainable-development guideline that governs DESAC data-centre applications</w:t>
            </w:r>
          </w:p>
        </w:tc>
        <w:tc>
          <w:tcPr>
            <w:tcW w:type="dxa" w:w="1178"/>
          </w:tcPr>
          <w:p>
            <w:pPr>
              <w:pStyle w:val="Compact"/>
              <w:jc w:val="left"/>
            </w:pPr>
            <w:r>
              <w:rPr>
                <w:sz w:val="15"/>
              </w:rPr>
              <w:t xml:space="preserve">(iii)</w:t>
            </w:r>
          </w:p>
        </w:tc>
        <w:tc>
          <w:tcPr>
            <w:tcW w:type="dxa" w:w="2003"/>
          </w:tcPr>
          <w:p>
            <w:pPr>
              <w:pStyle w:val="Compact"/>
              <w:jc w:val="left"/>
            </w:pPr>
            <w:r>
              <w:rPr>
                <w:sz w:val="15"/>
              </w:rPr>
              <w:t xml:space="preserve">Design conditions attached to the incentive</w:t>
            </w:r>
          </w:p>
        </w:tc>
        <w:tc>
          <w:tcPr>
            <w:tcW w:type="dxa" w:w="3771"/>
          </w:tcPr>
          <w:p>
            <w:pPr>
              <w:pStyle w:val="Compact"/>
              <w:jc w:val="left"/>
            </w:pPr>
            <w:r>
              <w:rPr>
                <w:sz w:val="15"/>
              </w:rPr>
              <w:t xml:space="preserve">Smallest category: low-voltage facility of 0.85 MW to under 4.25 MW (basis power capacity); targets for power usage effectiveness and water usage effectiveness by category</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Efficiency targets</w:t>
            </w:r>
          </w:p>
        </w:tc>
        <w:tc>
          <w:tcPr>
            <w:tcW w:type="dxa" w:w="1532"/>
          </w:tcPr>
          <w:p>
            <w:pPr>
              <w:pStyle w:val="Compact"/>
              <w:jc w:val="left"/>
            </w:pPr>
            <w:r>
              <w:rPr>
                <w:sz w:val="15"/>
              </w:rPr>
              <w:t xml:space="preserve">MITI guideline (December 2024), hosted by MIDA</w:t>
            </w:r>
          </w:p>
        </w:tc>
      </w:tr>
    </w:tbl>
    <w:bookmarkEnd w:id="24"/>
    <w:bookmarkStart w:id="25" w:name="philippines"/>
    <w:p>
      <w:pPr>
        <w:pStyle w:val="Heading3"/>
      </w:pPr>
      <w:r>
        <w:t xml:space="preserve">Philippines</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530"/>
        <w:gridCol w:w="2474"/>
        <w:gridCol w:w="1178"/>
        <w:gridCol w:w="2003"/>
        <w:gridCol w:w="3770"/>
        <w:gridCol w:w="1531"/>
        <w:gridCol w:w="2003"/>
        <w:gridCol w:w="1531"/>
      </w:tblGrid>
      <w:tr>
        <w:trPr>
          <w:tblHeader w:val="true"/>
        </w:trPr>
        <w:tc>
          <w:tcPr>
            <w:tcW w:type="dxa" w:w="530"/>
          </w:tcPr>
          <w:p>
            <w:pPr>
              <w:pStyle w:val="Compact"/>
              <w:jc w:val="left"/>
            </w:pPr>
            <w:r>
              <w:rPr>
                <w:b/>
                <w:sz w:val="15"/>
              </w:rPr>
              <w:t xml:space="preserve">No.</w:t>
            </w:r>
          </w:p>
        </w:tc>
        <w:tc>
          <w:tcPr>
            <w:tcW w:type="dxa" w:w="2474"/>
          </w:tcPr>
          <w:p>
            <w:pPr>
              <w:pStyle w:val="Compact"/>
              <w:jc w:val="left"/>
            </w:pPr>
            <w:r>
              <w:rPr>
                <w:b/>
                <w:sz w:val="15"/>
              </w:rPr>
              <w:t xml:space="preserve">Instrument</w:t>
            </w:r>
          </w:p>
        </w:tc>
        <w:tc>
          <w:tcPr>
            <w:tcW w:type="dxa" w:w="1178"/>
          </w:tcPr>
          <w:p>
            <w:pPr>
              <w:pStyle w:val="Compact"/>
              <w:jc w:val="left"/>
            </w:pPr>
            <w:r>
              <w:rPr>
                <w:b/>
                <w:sz w:val="15"/>
              </w:rPr>
              <w:t xml:space="preserve">Layer</w:t>
            </w:r>
          </w:p>
        </w:tc>
        <w:tc>
          <w:tcPr>
            <w:tcW w:type="dxa" w:w="2003"/>
          </w:tcPr>
          <w:p>
            <w:pPr>
              <w:pStyle w:val="Compact"/>
              <w:jc w:val="left"/>
            </w:pPr>
            <w:r>
              <w:rPr>
                <w:b/>
                <w:sz w:val="15"/>
              </w:rPr>
              <w:t xml:space="preserve">Delivery</w:t>
            </w:r>
          </w:p>
        </w:tc>
        <w:tc>
          <w:tcPr>
            <w:tcW w:type="dxa" w:w="3771"/>
          </w:tcPr>
          <w:p>
            <w:pPr>
              <w:pStyle w:val="Compact"/>
              <w:jc w:val="left"/>
            </w:pPr>
            <w:r>
              <w:rPr>
                <w:b/>
                <w:sz w:val="15"/>
              </w:rPr>
              <w:t xml:space="preserve">Threshold and basis</w:t>
            </w:r>
          </w:p>
        </w:tc>
        <w:tc>
          <w:tcPr>
            <w:tcW w:type="dxa" w:w="1532"/>
          </w:tcPr>
          <w:p>
            <w:pPr>
              <w:pStyle w:val="Compact"/>
              <w:jc w:val="left"/>
            </w:pPr>
            <w:r>
              <w:rPr>
                <w:b/>
                <w:sz w:val="15"/>
              </w:rPr>
              <w:t xml:space="preserve">New-firm accommodation</w:t>
            </w:r>
          </w:p>
        </w:tc>
        <w:tc>
          <w:tcPr>
            <w:tcW w:type="dxa" w:w="2003"/>
          </w:tcPr>
          <w:p>
            <w:pPr>
              <w:pStyle w:val="Compact"/>
              <w:jc w:val="left"/>
            </w:pPr>
            <w:r>
              <w:rPr>
                <w:b/>
                <w:sz w:val="15"/>
              </w:rPr>
              <w:t xml:space="preserve">Recurring compliance</w:t>
            </w:r>
          </w:p>
        </w:tc>
        <w:tc>
          <w:tcPr>
            <w:tcW w:type="dxa" w:w="1532"/>
          </w:tcPr>
          <w:p>
            <w:pPr>
              <w:pStyle w:val="Compact"/>
              <w:jc w:val="left"/>
            </w:pPr>
            <w:r>
              <w:rPr>
                <w:b/>
                <w:sz w:val="15"/>
              </w:rPr>
              <w:t xml:space="preserve">Verification</w:t>
            </w:r>
          </w:p>
        </w:tc>
      </w:tr>
      <w:tr>
        <w:tc>
          <w:tcPr>
            <w:tcW w:type="dxa" w:w="530"/>
          </w:tcPr>
          <w:p>
            <w:pPr>
              <w:pStyle w:val="Compact"/>
              <w:jc w:val="left"/>
            </w:pPr>
            <w:r>
              <w:rPr>
                <w:sz w:val="15"/>
              </w:rPr>
              <w:t xml:space="preserve">18</w:t>
            </w:r>
          </w:p>
        </w:tc>
        <w:tc>
          <w:tcPr>
            <w:tcW w:type="dxa" w:w="2474"/>
          </w:tcPr>
          <w:p>
            <w:pPr>
              <w:pStyle w:val="Compact"/>
              <w:jc w:val="left"/>
            </w:pPr>
            <w:r>
              <w:rPr>
                <w:sz w:val="15"/>
              </w:rPr>
              <w:t xml:space="preserve">Standard registration under the CREATE MORE Act and its implementing rules</w:t>
            </w:r>
          </w:p>
        </w:tc>
        <w:tc>
          <w:tcPr>
            <w:tcW w:type="dxa" w:w="1178"/>
          </w:tcPr>
          <w:p>
            <w:pPr>
              <w:pStyle w:val="Compact"/>
              <w:jc w:val="left"/>
            </w:pPr>
            <w:r>
              <w:rPr>
                <w:sz w:val="15"/>
              </w:rPr>
              <w:t xml:space="preserve">Cross-cutting</w:t>
            </w:r>
          </w:p>
        </w:tc>
        <w:tc>
          <w:tcPr>
            <w:tcW w:type="dxa" w:w="2003"/>
          </w:tcPr>
          <w:p>
            <w:pPr>
              <w:pStyle w:val="Compact"/>
              <w:jc w:val="left"/>
            </w:pPr>
            <w:r>
              <w:rPr>
                <w:sz w:val="15"/>
              </w:rPr>
              <w:t xml:space="preserve">Indirect: income tax holiday followed by special corporate income tax or enhanced deductions</w:t>
            </w:r>
          </w:p>
        </w:tc>
        <w:tc>
          <w:tcPr>
            <w:tcW w:type="dxa" w:w="3771"/>
          </w:tcPr>
          <w:p>
            <w:pPr>
              <w:pStyle w:val="Compact"/>
              <w:jc w:val="left"/>
            </w:pPr>
            <w:r>
              <w:rPr>
                <w:sz w:val="15"/>
              </w:rPr>
              <w:t xml:space="preserve">None stated in the Act or the implementing rules. The project must be listed in the Strategic Investment Priority Plan, meet the Plan’s qualifications and ownership rules, and be within the corporate powers; the agency registers any listed project regardless of capital</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Cost-benefit analysis at application; documents including audited financial statements where applicable and projections without incentives for the whole period; FIRB monitoring; annual claim for each project and performance metrics; the rules prescribe simplified forms for micro and small enterprises, which ease filing and not eligibility</w:t>
            </w:r>
          </w:p>
        </w:tc>
        <w:tc>
          <w:tcPr>
            <w:tcW w:type="dxa" w:w="1532"/>
          </w:tcPr>
          <w:p>
            <w:pPr>
              <w:pStyle w:val="Compact"/>
              <w:jc w:val="left"/>
            </w:pPr>
            <w:r>
              <w:rPr>
                <w:sz w:val="15"/>
              </w:rPr>
              <w:t xml:space="preserve">RA 12066; implementing rules (signed 17 February 2025)</w:t>
            </w:r>
          </w:p>
        </w:tc>
      </w:tr>
      <w:tr>
        <w:tc>
          <w:tcPr>
            <w:tcW w:type="dxa" w:w="530"/>
          </w:tcPr>
          <w:p>
            <w:pPr>
              <w:pStyle w:val="Compact"/>
              <w:jc w:val="left"/>
            </w:pPr>
            <w:r>
              <w:rPr>
                <w:sz w:val="15"/>
              </w:rPr>
              <w:t xml:space="preserve">19</w:t>
            </w:r>
          </w:p>
        </w:tc>
        <w:tc>
          <w:tcPr>
            <w:tcW w:type="dxa" w:w="2474"/>
          </w:tcPr>
          <w:p>
            <w:pPr>
              <w:pStyle w:val="Compact"/>
              <w:jc w:val="left"/>
            </w:pPr>
            <w:r>
              <w:rPr>
                <w:sz w:val="15"/>
              </w:rPr>
              <w:t xml:space="preserve">Firm-scale boundary and high-value domestic market enterprise</w:t>
            </w:r>
          </w:p>
        </w:tc>
        <w:tc>
          <w:tcPr>
            <w:tcW w:type="dxa" w:w="1178"/>
          </w:tcPr>
          <w:p>
            <w:pPr>
              <w:pStyle w:val="Compact"/>
              <w:jc w:val="left"/>
            </w:pPr>
            <w:r>
              <w:rPr>
                <w:sz w:val="15"/>
              </w:rPr>
              <w:t xml:space="preserve">Cross-cutting (firm scale)</w:t>
            </w:r>
          </w:p>
        </w:tc>
        <w:tc>
          <w:tcPr>
            <w:tcW w:type="dxa" w:w="2003"/>
          </w:tcPr>
          <w:p>
            <w:pPr>
              <w:pStyle w:val="Compact"/>
              <w:jc w:val="left"/>
            </w:pPr>
            <w:r>
              <w:rPr>
                <w:sz w:val="15"/>
              </w:rPr>
              <w:t xml:space="preserve">Indirect: longer availment (up to 14 to 17 years under the agency tier, 24 to 27 years under the FIRB tier)</w:t>
            </w:r>
          </w:p>
        </w:tc>
        <w:tc>
          <w:tcPr>
            <w:tcW w:type="dxa" w:w="3771"/>
          </w:tcPr>
          <w:p>
            <w:pPr>
              <w:pStyle w:val="Compact"/>
              <w:jc w:val="left"/>
            </w:pPr>
            <w:r>
              <w:rPr>
                <w:sz w:val="15"/>
              </w:rPr>
              <w:t xml:space="preserve">Investment capital above PHP 15bn (about US$260m) routes the project to the FIRB, which may raise the figure; a high-value domestic market enterprise has more than PHP 15bn in import-substituting sectors or export sales of at least US$100m; extension only with at least 10,000 direct local employees</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FIRB oversight and reporting</w:t>
            </w:r>
          </w:p>
        </w:tc>
        <w:tc>
          <w:tcPr>
            <w:tcW w:type="dxa" w:w="1532"/>
          </w:tcPr>
          <w:p>
            <w:pPr>
              <w:pStyle w:val="Compact"/>
              <w:jc w:val="left"/>
            </w:pPr>
            <w:r>
              <w:rPr>
                <w:sz w:val="15"/>
              </w:rPr>
              <w:t xml:space="preserve">RA 12066; implementing rules</w:t>
            </w:r>
          </w:p>
        </w:tc>
      </w:tr>
      <w:tr>
        <w:tc>
          <w:tcPr>
            <w:tcW w:type="dxa" w:w="530"/>
          </w:tcPr>
          <w:p>
            <w:pPr>
              <w:pStyle w:val="Compact"/>
              <w:jc w:val="left"/>
            </w:pPr>
            <w:r>
              <w:rPr>
                <w:sz w:val="15"/>
              </w:rPr>
              <w:t xml:space="preserve">20</w:t>
            </w:r>
          </w:p>
        </w:tc>
        <w:tc>
          <w:tcPr>
            <w:tcW w:type="dxa" w:w="2474"/>
          </w:tcPr>
          <w:p>
            <w:pPr>
              <w:pStyle w:val="Compact"/>
              <w:jc w:val="left"/>
            </w:pPr>
            <w:r>
              <w:rPr>
                <w:sz w:val="15"/>
              </w:rPr>
              <w:t xml:space="preserve">Highly desirable project (Section 301, presidential discretion)</w:t>
            </w:r>
          </w:p>
        </w:tc>
        <w:tc>
          <w:tcPr>
            <w:tcW w:type="dxa" w:w="1178"/>
          </w:tcPr>
          <w:p>
            <w:pPr>
              <w:pStyle w:val="Compact"/>
              <w:jc w:val="left"/>
            </w:pPr>
            <w:r>
              <w:rPr>
                <w:sz w:val="15"/>
              </w:rPr>
              <w:t xml:space="preserve">Cross-cutting</w:t>
            </w:r>
          </w:p>
        </w:tc>
        <w:tc>
          <w:tcPr>
            <w:tcW w:type="dxa" w:w="2003"/>
          </w:tcPr>
          <w:p>
            <w:pPr>
              <w:pStyle w:val="Compact"/>
              <w:jc w:val="left"/>
            </w:pPr>
            <w:r>
              <w:rPr>
                <w:sz w:val="15"/>
              </w:rPr>
              <w:t xml:space="preserve">Direct or indirect: bespoke package, income-tax incentives capped at 40 years</w:t>
            </w:r>
          </w:p>
        </w:tc>
        <w:tc>
          <w:tcPr>
            <w:tcW w:type="dxa" w:w="3771"/>
          </w:tcPr>
          <w:p>
            <w:pPr>
              <w:pStyle w:val="Compact"/>
              <w:jc w:val="left"/>
            </w:pPr>
            <w:r>
              <w:rPr>
                <w:sz w:val="15"/>
              </w:rPr>
              <w:t xml:space="preserve">The FIRB must find benefits clear and convincing and far above cost; sustainable development plan;</w:t>
            </w:r>
            <w:r>
              <w:rPr>
                <w:sz w:val="15"/>
              </w:rPr>
              <w:t xml:space="preserve"> </w:t>
            </w:r>
            <w:r>
              <w:rPr>
                <w:bCs/>
                <w:b/>
                <w:sz w:val="15"/>
              </w:rPr>
              <w:t xml:space="preserve">minimum investment capital of PHP 50bn (about US$865m) or at least 10,000 direct local jobs within three years</w:t>
            </w:r>
            <w:r>
              <w:rPr>
                <w:sz w:val="15"/>
              </w:rPr>
              <w:t xml:space="preserve">; thresholds reviewed every three years</w:t>
            </w:r>
          </w:p>
        </w:tc>
        <w:tc>
          <w:tcPr>
            <w:tcW w:type="dxa" w:w="1532"/>
          </w:tcPr>
          <w:p>
            <w:pPr>
              <w:pStyle w:val="Compact"/>
              <w:jc w:val="left"/>
            </w:pPr>
            <w:r>
              <w:rPr>
                <w:sz w:val="15"/>
              </w:rPr>
              <w:t xml:space="preserve">No: discretionary and not an entitlement</w:t>
            </w:r>
          </w:p>
        </w:tc>
        <w:tc>
          <w:tcPr>
            <w:tcW w:type="dxa" w:w="2003"/>
          </w:tcPr>
          <w:p>
            <w:pPr>
              <w:pStyle w:val="Compact"/>
              <w:jc w:val="left"/>
            </w:pPr>
            <w:r>
              <w:rPr>
                <w:sz w:val="15"/>
              </w:rPr>
              <w:t xml:space="preserve">FIRB and presidential oversight; cancellation if targets are missed</w:t>
            </w:r>
          </w:p>
        </w:tc>
        <w:tc>
          <w:tcPr>
            <w:tcW w:type="dxa" w:w="1532"/>
          </w:tcPr>
          <w:p>
            <w:pPr>
              <w:pStyle w:val="Compact"/>
              <w:jc w:val="left"/>
            </w:pPr>
            <w:r>
              <w:rPr>
                <w:sz w:val="15"/>
              </w:rPr>
              <w:t xml:space="preserve">RA 12066 Section 301; implementing rules</w:t>
            </w:r>
          </w:p>
        </w:tc>
      </w:tr>
      <w:tr>
        <w:tc>
          <w:tcPr>
            <w:tcW w:type="dxa" w:w="530"/>
          </w:tcPr>
          <w:p>
            <w:pPr>
              <w:pStyle w:val="Compact"/>
              <w:jc w:val="left"/>
            </w:pPr>
            <w:r>
              <w:rPr>
                <w:sz w:val="15"/>
              </w:rPr>
              <w:t xml:space="preserve">27</w:t>
            </w:r>
          </w:p>
        </w:tc>
        <w:tc>
          <w:tcPr>
            <w:tcW w:type="dxa" w:w="2474"/>
          </w:tcPr>
          <w:p>
            <w:pPr>
              <w:pStyle w:val="Compact"/>
              <w:jc w:val="left"/>
            </w:pPr>
            <w:r>
              <w:rPr>
                <w:sz w:val="15"/>
              </w:rPr>
              <w:t xml:space="preserve">2026 Plan, IT-enabled services: software development including software as a service, and hyperscalers (Tier I)</w:t>
            </w:r>
          </w:p>
        </w:tc>
        <w:tc>
          <w:tcPr>
            <w:tcW w:type="dxa" w:w="1178"/>
          </w:tcPr>
          <w:p>
            <w:pPr>
              <w:pStyle w:val="Compact"/>
              <w:jc w:val="left"/>
            </w:pPr>
            <w:r>
              <w:rPr>
                <w:sz w:val="15"/>
              </w:rPr>
              <w:t xml:space="preserve">(i) and (ii)</w:t>
            </w:r>
          </w:p>
        </w:tc>
        <w:tc>
          <w:tcPr>
            <w:tcW w:type="dxa" w:w="2003"/>
          </w:tcPr>
          <w:p>
            <w:pPr>
              <w:pStyle w:val="Compact"/>
              <w:jc w:val="left"/>
            </w:pPr>
            <w:r>
              <w:rPr>
                <w:sz w:val="15"/>
              </w:rPr>
              <w:t xml:space="preserve">Eligibility status: listing confers eligibility, and benefits follow by tier</w:t>
            </w:r>
          </w:p>
        </w:tc>
        <w:tc>
          <w:tcPr>
            <w:tcW w:type="dxa" w:w="3771"/>
          </w:tcPr>
          <w:p>
            <w:pPr>
              <w:pStyle w:val="Compact"/>
              <w:jc w:val="left"/>
            </w:pPr>
            <w:r>
              <w:rPr>
                <w:sz w:val="15"/>
              </w:rPr>
              <w:t xml:space="preserve">None stated</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As row 18</w:t>
            </w:r>
          </w:p>
        </w:tc>
        <w:tc>
          <w:tcPr>
            <w:tcW w:type="dxa" w:w="1532"/>
          </w:tcPr>
          <w:p>
            <w:pPr>
              <w:pStyle w:val="Compact"/>
              <w:jc w:val="left"/>
            </w:pPr>
            <w:r>
              <w:rPr>
                <w:sz w:val="15"/>
              </w:rPr>
              <w:t xml:space="preserve">Memorandum Order 47 of 21 May 2026</w:t>
            </w:r>
          </w:p>
        </w:tc>
      </w:tr>
      <w:tr>
        <w:tc>
          <w:tcPr>
            <w:tcW w:type="dxa" w:w="530"/>
          </w:tcPr>
          <w:p>
            <w:pPr>
              <w:pStyle w:val="Compact"/>
              <w:jc w:val="left"/>
            </w:pPr>
            <w:r>
              <w:rPr>
                <w:sz w:val="15"/>
              </w:rPr>
              <w:t xml:space="preserve">28</w:t>
            </w:r>
          </w:p>
        </w:tc>
        <w:tc>
          <w:tcPr>
            <w:tcW w:type="dxa" w:w="2474"/>
          </w:tcPr>
          <w:p>
            <w:pPr>
              <w:pStyle w:val="Compact"/>
              <w:jc w:val="left"/>
            </w:pPr>
            <w:r>
              <w:rPr>
                <w:sz w:val="15"/>
              </w:rPr>
              <w:t xml:space="preserve">2026 Plan, artificial intelligence and data science: development of solutions and provision of services (Tier III)</w:t>
            </w:r>
          </w:p>
        </w:tc>
        <w:tc>
          <w:tcPr>
            <w:tcW w:type="dxa" w:w="1178"/>
          </w:tcPr>
          <w:p>
            <w:pPr>
              <w:pStyle w:val="Compact"/>
              <w:jc w:val="left"/>
            </w:pPr>
            <w:r>
              <w:rPr>
                <w:sz w:val="15"/>
              </w:rPr>
              <w:t xml:space="preserve">(i)</w:t>
            </w:r>
          </w:p>
        </w:tc>
        <w:tc>
          <w:tcPr>
            <w:tcW w:type="dxa" w:w="2003"/>
          </w:tcPr>
          <w:p>
            <w:pPr>
              <w:pStyle w:val="Compact"/>
              <w:jc w:val="left"/>
            </w:pPr>
            <w:r>
              <w:rPr>
                <w:sz w:val="15"/>
              </w:rPr>
              <w:t xml:space="preserve">Eligibility status: listing confers eligibility, and benefits follow by tier</w:t>
            </w:r>
          </w:p>
        </w:tc>
        <w:tc>
          <w:tcPr>
            <w:tcW w:type="dxa" w:w="3771"/>
          </w:tcPr>
          <w:p>
            <w:pPr>
              <w:pStyle w:val="Compact"/>
              <w:jc w:val="left"/>
            </w:pPr>
            <w:r>
              <w:rPr>
                <w:sz w:val="15"/>
              </w:rPr>
              <w:t xml:space="preserve">None stated</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As row 18</w:t>
            </w:r>
          </w:p>
        </w:tc>
        <w:tc>
          <w:tcPr>
            <w:tcW w:type="dxa" w:w="1532"/>
          </w:tcPr>
          <w:p>
            <w:pPr>
              <w:pStyle w:val="Compact"/>
              <w:jc w:val="left"/>
            </w:pPr>
            <w:r>
              <w:rPr>
                <w:sz w:val="15"/>
              </w:rPr>
              <w:t xml:space="preserve">Memorandum Order 47</w:t>
            </w:r>
          </w:p>
        </w:tc>
      </w:tr>
      <w:tr>
        <w:tc>
          <w:tcPr>
            <w:tcW w:type="dxa" w:w="530"/>
          </w:tcPr>
          <w:p>
            <w:pPr>
              <w:pStyle w:val="Compact"/>
              <w:jc w:val="left"/>
            </w:pPr>
            <w:r>
              <w:rPr>
                <w:sz w:val="15"/>
              </w:rPr>
              <w:t xml:space="preserve">29</w:t>
            </w:r>
          </w:p>
        </w:tc>
        <w:tc>
          <w:tcPr>
            <w:tcW w:type="dxa" w:w="2474"/>
          </w:tcPr>
          <w:p>
            <w:pPr>
              <w:pStyle w:val="Compact"/>
              <w:jc w:val="left"/>
            </w:pPr>
            <w:r>
              <w:rPr>
                <w:sz w:val="15"/>
              </w:rPr>
              <w:t xml:space="preserve">2026 Plan, data centres: those relying on the grid as upstream telecommunications infrastructure (Tier I); those with their own power supply, listed among science, technology and innovation support facilities (Tier III). The Plan defines a data centre as a purpose-built commercial facility, dedicated or multi-tenant, that provides infrastructure such as colocation</w:t>
            </w:r>
          </w:p>
        </w:tc>
        <w:tc>
          <w:tcPr>
            <w:tcW w:type="dxa" w:w="1178"/>
          </w:tcPr>
          <w:p>
            <w:pPr>
              <w:pStyle w:val="Compact"/>
              <w:jc w:val="left"/>
            </w:pPr>
            <w:r>
              <w:rPr>
                <w:sz w:val="15"/>
              </w:rPr>
              <w:t xml:space="preserve">(iii)</w:t>
            </w:r>
          </w:p>
        </w:tc>
        <w:tc>
          <w:tcPr>
            <w:tcW w:type="dxa" w:w="2003"/>
          </w:tcPr>
          <w:p>
            <w:pPr>
              <w:pStyle w:val="Compact"/>
              <w:jc w:val="left"/>
            </w:pPr>
            <w:r>
              <w:rPr>
                <w:sz w:val="15"/>
              </w:rPr>
              <w:t xml:space="preserve">Eligibility status: listing confers eligibility, and benefits follow by tier</w:t>
            </w:r>
          </w:p>
        </w:tc>
        <w:tc>
          <w:tcPr>
            <w:tcW w:type="dxa" w:w="3771"/>
          </w:tcPr>
          <w:p>
            <w:pPr>
              <w:pStyle w:val="Compact"/>
              <w:jc w:val="left"/>
            </w:pPr>
            <w:r>
              <w:rPr>
                <w:sz w:val="15"/>
              </w:rPr>
              <w:t xml:space="preserve">None stated; the tier depends on the power source, not on size</w:t>
            </w:r>
          </w:p>
        </w:tc>
        <w:tc>
          <w:tcPr>
            <w:tcW w:type="dxa" w:w="1532"/>
          </w:tcPr>
          <w:p>
            <w:pPr>
              <w:pStyle w:val="Compact"/>
              <w:jc w:val="left"/>
            </w:pPr>
            <w:r>
              <w:rPr>
                <w:sz w:val="15"/>
              </w:rPr>
              <w:t xml:space="preserve">No</w:t>
            </w:r>
          </w:p>
        </w:tc>
        <w:tc>
          <w:tcPr>
            <w:tcW w:type="dxa" w:w="2003"/>
          </w:tcPr>
          <w:p>
            <w:pPr>
              <w:pStyle w:val="Compact"/>
              <w:jc w:val="left"/>
            </w:pPr>
            <w:r>
              <w:rPr>
                <w:sz w:val="15"/>
              </w:rPr>
              <w:t xml:space="preserve">As row 18</w:t>
            </w:r>
          </w:p>
        </w:tc>
        <w:tc>
          <w:tcPr>
            <w:tcW w:type="dxa" w:w="1532"/>
          </w:tcPr>
          <w:p>
            <w:pPr>
              <w:pStyle w:val="Compact"/>
              <w:jc w:val="left"/>
            </w:pPr>
            <w:r>
              <w:rPr>
                <w:sz w:val="15"/>
              </w:rPr>
              <w:t xml:space="preserve">Memorandum Order 47</w:t>
            </w:r>
          </w:p>
        </w:tc>
      </w:tr>
    </w:tbl>
    <w:p>
      <w:pPr>
        <w:pStyle w:val="BodyText"/>
      </w:pPr>
      <w:r>
        <w:rPr>
          <w:iCs/>
          <w:i/>
        </w:rPr>
        <w:t xml:space="preserve">Notes.</w:t>
      </w:r>
      <w:r>
        <w:t xml:space="preserve"> </w:t>
      </w:r>
      <w:r>
        <w:t xml:space="preserve">Verification covers the cited primary text only. The Vietnamese texts were read through a commercial legal database, not the official gazette. Rows 7 to 9 and 24 to 26 draw on Decree 260/2026 and rows 10 to 13 on Decision 21/2026. The Thai activity numbers follow the Guide 2026.</w:t>
      </w:r>
    </w:p>
    <w:bookmarkEnd w:id="25"/>
    <w:bookmarkEnd w:id="26"/>
    <w:bookmarkStart w:id="27" w:name="table-s2.-primary-sources-coded"/>
    <w:p>
      <w:pPr>
        <w:pStyle w:val="Heading2"/>
      </w:pPr>
      <w:r>
        <w:t xml:space="preserve">Table S2. Primary sources coded</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748"/>
        <w:gridCol w:w="2878"/>
        <w:gridCol w:w="2014"/>
        <w:gridCol w:w="2014"/>
        <w:gridCol w:w="2187"/>
        <w:gridCol w:w="2417"/>
        <w:gridCol w:w="2762"/>
      </w:tblGrid>
      <w:tr>
        <w:trPr>
          <w:tblHeader w:val="true"/>
        </w:trPr>
        <w:tc>
          <w:tcPr>
            <w:tcW w:type="dxa" w:w="748"/>
          </w:tcPr>
          <w:p>
            <w:pPr>
              <w:pStyle w:val="Compact"/>
              <w:jc w:val="left"/>
            </w:pPr>
            <w:r>
              <w:rPr>
                <w:b/>
                <w:sz w:val="15"/>
              </w:rPr>
              <w:t xml:space="preserve">Country</w:t>
            </w:r>
          </w:p>
        </w:tc>
        <w:tc>
          <w:tcPr>
            <w:tcW w:type="dxa" w:w="2878"/>
          </w:tcPr>
          <w:p>
            <w:pPr>
              <w:pStyle w:val="Compact"/>
              <w:jc w:val="left"/>
            </w:pPr>
            <w:r>
              <w:rPr>
                <w:b/>
                <w:sz w:val="15"/>
              </w:rPr>
              <w:t xml:space="preserve">Source</w:t>
            </w:r>
          </w:p>
        </w:tc>
        <w:tc>
          <w:tcPr>
            <w:tcW w:type="dxa" w:w="2015"/>
          </w:tcPr>
          <w:p>
            <w:pPr>
              <w:pStyle w:val="Compact"/>
              <w:jc w:val="left"/>
            </w:pPr>
            <w:r>
              <w:rPr>
                <w:b/>
                <w:sz w:val="15"/>
              </w:rPr>
              <w:t xml:space="preserve">Issuer</w:t>
            </w:r>
          </w:p>
        </w:tc>
        <w:tc>
          <w:tcPr>
            <w:tcW w:type="dxa" w:w="2015"/>
          </w:tcPr>
          <w:p>
            <w:pPr>
              <w:pStyle w:val="Compact"/>
              <w:jc w:val="left"/>
            </w:pPr>
            <w:r>
              <w:rPr>
                <w:b/>
                <w:sz w:val="15"/>
              </w:rPr>
              <w:t xml:space="preserve">Date in force</w:t>
            </w:r>
          </w:p>
        </w:tc>
        <w:tc>
          <w:tcPr>
            <w:tcW w:type="dxa" w:w="2187"/>
          </w:tcPr>
          <w:p>
            <w:pPr>
              <w:pStyle w:val="Compact"/>
              <w:jc w:val="left"/>
            </w:pPr>
            <w:r>
              <w:rPr>
                <w:b/>
                <w:sz w:val="15"/>
              </w:rPr>
              <w:t xml:space="preserve">Language / translation</w:t>
            </w:r>
          </w:p>
        </w:tc>
        <w:tc>
          <w:tcPr>
            <w:tcW w:type="dxa" w:w="2418"/>
          </w:tcPr>
          <w:p>
            <w:pPr>
              <w:pStyle w:val="Compact"/>
              <w:jc w:val="left"/>
            </w:pPr>
            <w:r>
              <w:rPr>
                <w:b/>
                <w:sz w:val="15"/>
              </w:rPr>
              <w:t xml:space="preserve">Accessed</w:t>
            </w:r>
          </w:p>
        </w:tc>
        <w:tc>
          <w:tcPr>
            <w:tcW w:type="dxa" w:w="2763"/>
          </w:tcPr>
          <w:p>
            <w:pPr>
              <w:pStyle w:val="Compact"/>
              <w:jc w:val="left"/>
            </w:pPr>
            <w:r>
              <w:rPr>
                <w:b/>
                <w:sz w:val="15"/>
              </w:rPr>
              <w:t xml:space="preserve">Amendments, repeals and implementing rules checked (date)</w:t>
            </w:r>
          </w:p>
        </w:tc>
      </w:tr>
      <w:tr>
        <w:tc>
          <w:tcPr>
            <w:tcW w:type="dxa" w:w="748"/>
          </w:tcPr>
          <w:p>
            <w:pPr>
              <w:pStyle w:val="Compact"/>
              <w:jc w:val="left"/>
            </w:pPr>
            <w:r>
              <w:rPr>
                <w:sz w:val="15"/>
              </w:rPr>
              <w:t xml:space="preserve">Thailand</w:t>
            </w:r>
          </w:p>
        </w:tc>
        <w:tc>
          <w:tcPr>
            <w:tcW w:type="dxa" w:w="2878"/>
          </w:tcPr>
          <w:p>
            <w:pPr>
              <w:pStyle w:val="Compact"/>
              <w:jc w:val="left"/>
            </w:pPr>
            <w:r>
              <w:rPr>
                <w:sz w:val="15"/>
              </w:rPr>
              <w:t xml:space="preserve">BOI Investment Promotion Guide 2026; BOI Announcements 9/2565 (8 December 2022), 10/2565, Sor. 5/2568 (5 June 2025) and Sor. 9/2568 (14 November 2025); approval statistics January to December 2025</w:t>
            </w:r>
          </w:p>
        </w:tc>
        <w:tc>
          <w:tcPr>
            <w:tcW w:type="dxa" w:w="2015"/>
          </w:tcPr>
          <w:p>
            <w:pPr>
              <w:pStyle w:val="Compact"/>
              <w:jc w:val="left"/>
            </w:pPr>
            <w:r>
              <w:rPr>
                <w:sz w:val="15"/>
              </w:rPr>
              <w:t xml:space="preserve">Board of Investment</w:t>
            </w:r>
          </w:p>
        </w:tc>
        <w:tc>
          <w:tcPr>
            <w:tcW w:type="dxa" w:w="2015"/>
          </w:tcPr>
          <w:p>
            <w:pPr>
              <w:pStyle w:val="Compact"/>
              <w:jc w:val="left"/>
            </w:pPr>
            <w:r>
              <w:rPr>
                <w:sz w:val="15"/>
              </w:rPr>
              <w:t xml:space="preserve">Sor. 9/2568 applies to applications from 14 November 2025</w:t>
            </w:r>
          </w:p>
        </w:tc>
        <w:tc>
          <w:tcPr>
            <w:tcW w:type="dxa" w:w="2187"/>
          </w:tcPr>
          <w:p>
            <w:pPr>
              <w:pStyle w:val="Compact"/>
              <w:jc w:val="left"/>
            </w:pPr>
            <w:r>
              <w:rPr>
                <w:sz w:val="15"/>
              </w:rPr>
              <w:t xml:space="preserve">English (BOI unofficial translation)</w:t>
            </w:r>
          </w:p>
        </w:tc>
        <w:tc>
          <w:tcPr>
            <w:tcW w:type="dxa" w:w="2418"/>
          </w:tcPr>
          <w:p>
            <w:pPr>
              <w:pStyle w:val="Compact"/>
              <w:jc w:val="left"/>
            </w:pPr>
            <w:r>
              <w:rPr>
                <w:sz w:val="15"/>
              </w:rPr>
              <w:t xml:space="preserve">Read 9 October 2026</w:t>
            </w:r>
          </w:p>
        </w:tc>
        <w:tc>
          <w:tcPr>
            <w:tcW w:type="dxa" w:w="2763"/>
          </w:tcPr>
          <w:p>
            <w:pPr>
              <w:pStyle w:val="Compact"/>
              <w:jc w:val="left"/>
            </w:pPr>
            <w:r>
              <w:rPr>
                <w:sz w:val="15"/>
              </w:rPr>
              <w:t xml:space="preserve">Guide 2026 and Sor. 9/2568 are the current texts and Sor. 5/2568 and 9/2568 amend 9/2565; the Thai original and Royal Gazette text are to be checked (not yet read)</w:t>
            </w:r>
          </w:p>
        </w:tc>
      </w:tr>
      <w:tr>
        <w:tc>
          <w:tcPr>
            <w:tcW w:type="dxa" w:w="748"/>
          </w:tcPr>
          <w:p>
            <w:pPr>
              <w:pStyle w:val="Compact"/>
              <w:jc w:val="left"/>
            </w:pPr>
            <w:r>
              <w:rPr>
                <w:sz w:val="15"/>
              </w:rPr>
              <w:t xml:space="preserve">Vietnam</w:t>
            </w:r>
          </w:p>
        </w:tc>
        <w:tc>
          <w:tcPr>
            <w:tcW w:type="dxa" w:w="2878"/>
          </w:tcPr>
          <w:p>
            <w:pPr>
              <w:pStyle w:val="Compact"/>
              <w:jc w:val="left"/>
            </w:pPr>
            <w:r>
              <w:rPr>
                <w:sz w:val="15"/>
              </w:rPr>
              <w:t xml:space="preserve">Decree 260/2026/ND-CP (30 June 2026; in force 1 July 2026; replaces Decree 10/2024); Decision 21/2026/QD-TTg (replaces Decision 1131/QD-TTg of 2025)</w:t>
            </w:r>
          </w:p>
        </w:tc>
        <w:tc>
          <w:tcPr>
            <w:tcW w:type="dxa" w:w="2015"/>
          </w:tcPr>
          <w:p>
            <w:pPr>
              <w:pStyle w:val="Compact"/>
              <w:jc w:val="left"/>
            </w:pPr>
            <w:r>
              <w:rPr>
                <w:sz w:val="15"/>
              </w:rPr>
              <w:t xml:space="preserve">Government; Prime Minister</w:t>
            </w:r>
          </w:p>
        </w:tc>
        <w:tc>
          <w:tcPr>
            <w:tcW w:type="dxa" w:w="2015"/>
          </w:tcPr>
          <w:p>
            <w:pPr>
              <w:pStyle w:val="Compact"/>
              <w:jc w:val="left"/>
            </w:pPr>
            <w:r>
              <w:rPr>
                <w:sz w:val="15"/>
              </w:rPr>
              <w:t xml:space="preserve">1 July 2026</w:t>
            </w:r>
          </w:p>
        </w:tc>
        <w:tc>
          <w:tcPr>
            <w:tcW w:type="dxa" w:w="2187"/>
          </w:tcPr>
          <w:p>
            <w:pPr>
              <w:pStyle w:val="Compact"/>
              <w:jc w:val="left"/>
            </w:pPr>
            <w:r>
              <w:rPr>
                <w:sz w:val="15"/>
              </w:rPr>
              <w:t xml:space="preserve">Vietnamese original, read through the Thu Vien Phap Luat legal database, not the official gazette</w:t>
            </w:r>
          </w:p>
        </w:tc>
        <w:tc>
          <w:tcPr>
            <w:tcW w:type="dxa" w:w="2418"/>
          </w:tcPr>
          <w:p>
            <w:pPr>
              <w:pStyle w:val="Compact"/>
              <w:jc w:val="left"/>
            </w:pPr>
            <w:r>
              <w:rPr>
                <w:sz w:val="15"/>
              </w:rPr>
              <w:t xml:space="preserve">Decree 260 and Decision 21/2026 read in full 9 October 2026</w:t>
            </w:r>
          </w:p>
        </w:tc>
        <w:tc>
          <w:tcPr>
            <w:tcW w:type="dxa" w:w="2763"/>
          </w:tcPr>
          <w:p>
            <w:pPr>
              <w:pStyle w:val="Compact"/>
              <w:jc w:val="left"/>
            </w:pPr>
            <w:r>
              <w:rPr>
                <w:sz w:val="15"/>
              </w:rPr>
              <w:t xml:space="preserve">Implementing circulars 38, 40, 42, 48 and 49/2026/TT-BKHCN and Decrees 20/2026 and 264/2025 identified; the circulars (including Circular 34/2025/TT-BKHCN on procurement preference) not yet read (not yet read)</w:t>
            </w:r>
          </w:p>
        </w:tc>
      </w:tr>
      <w:tr>
        <w:tc>
          <w:tcPr>
            <w:tcW w:type="dxa" w:w="748"/>
          </w:tcPr>
          <w:p>
            <w:pPr>
              <w:pStyle w:val="Compact"/>
              <w:jc w:val="left"/>
            </w:pPr>
            <w:r>
              <w:rPr>
                <w:sz w:val="15"/>
              </w:rPr>
              <w:t xml:space="preserve">Malaysia</w:t>
            </w:r>
          </w:p>
        </w:tc>
        <w:tc>
          <w:tcPr>
            <w:tcW w:type="dxa" w:w="2878"/>
          </w:tcPr>
          <w:p>
            <w:pPr>
              <w:pStyle w:val="Compact"/>
              <w:jc w:val="left"/>
            </w:pPr>
            <w:r>
              <w:rPr>
                <w:sz w:val="15"/>
              </w:rPr>
              <w:t xml:space="preserve">Guidelines on Malaysia Digital (MD) Tax Incentive, New Investment Incentive (revised 22 July 2025); Guidelines and Procedures for DESAC (version on MIDA’s site, December 2024); Guideline for Sustainable Development of Data Centre (December 2024)</w:t>
            </w:r>
          </w:p>
        </w:tc>
        <w:tc>
          <w:tcPr>
            <w:tcW w:type="dxa" w:w="2015"/>
          </w:tcPr>
          <w:p>
            <w:pPr>
              <w:pStyle w:val="Compact"/>
              <w:jc w:val="left"/>
            </w:pPr>
            <w:r>
              <w:rPr>
                <w:sz w:val="15"/>
              </w:rPr>
              <w:t xml:space="preserve">MDEC; MIDA; MITI (hosted by MIDA)</w:t>
            </w:r>
          </w:p>
        </w:tc>
        <w:tc>
          <w:tcPr>
            <w:tcW w:type="dxa" w:w="2015"/>
          </w:tcPr>
          <w:p>
            <w:pPr>
              <w:pStyle w:val="Compact"/>
              <w:jc w:val="left"/>
            </w:pPr>
            <w:r>
              <w:rPr>
                <w:sz w:val="15"/>
              </w:rPr>
              <w:t xml:space="preserve">DESAC applications received 1 January 2022 to 31 December 2027; MD guideline July 2025</w:t>
            </w:r>
          </w:p>
        </w:tc>
        <w:tc>
          <w:tcPr>
            <w:tcW w:type="dxa" w:w="2187"/>
          </w:tcPr>
          <w:p>
            <w:pPr>
              <w:pStyle w:val="Compact"/>
              <w:jc w:val="left"/>
            </w:pPr>
            <w:r>
              <w:rPr>
                <w:sz w:val="15"/>
              </w:rPr>
              <w:t xml:space="preserve">English (original)</w:t>
            </w:r>
          </w:p>
        </w:tc>
        <w:tc>
          <w:tcPr>
            <w:tcW w:type="dxa" w:w="2418"/>
          </w:tcPr>
          <w:p>
            <w:pPr>
              <w:pStyle w:val="Compact"/>
              <w:jc w:val="left"/>
            </w:pPr>
            <w:r>
              <w:rPr>
                <w:sz w:val="15"/>
              </w:rPr>
              <w:t xml:space="preserve">Read 9 October 2026</w:t>
            </w:r>
          </w:p>
        </w:tc>
        <w:tc>
          <w:tcPr>
            <w:tcW w:type="dxa" w:w="2763"/>
          </w:tcPr>
          <w:p>
            <w:pPr>
              <w:pStyle w:val="Compact"/>
              <w:jc w:val="left"/>
            </w:pPr>
            <w:r>
              <w:rPr>
                <w:sz w:val="15"/>
              </w:rPr>
              <w:t xml:space="preserve">New Incentive Framework (manufacturing from 1 March 2026, services from Q2 2026) does not withdraw DESAC, which stays available until its window expires (MIDA NIF FAQ, question 20); checked 9 October 2026</w:t>
            </w:r>
          </w:p>
        </w:tc>
      </w:tr>
      <w:tr>
        <w:tc>
          <w:tcPr>
            <w:tcW w:type="dxa" w:w="748"/>
          </w:tcPr>
          <w:p>
            <w:pPr>
              <w:pStyle w:val="Compact"/>
              <w:jc w:val="left"/>
            </w:pPr>
            <w:r>
              <w:rPr>
                <w:sz w:val="15"/>
              </w:rPr>
              <w:t xml:space="preserve">Philippines</w:t>
            </w:r>
          </w:p>
        </w:tc>
        <w:tc>
          <w:tcPr>
            <w:tcW w:type="dxa" w:w="2878"/>
          </w:tcPr>
          <w:p>
            <w:pPr>
              <w:pStyle w:val="Compact"/>
              <w:jc w:val="left"/>
            </w:pPr>
            <w:r>
              <w:rPr>
                <w:sz w:val="15"/>
              </w:rPr>
              <w:t xml:space="preserve">Republic Act 12066 (CREATE MORE), signed 11 November 2024; implementing rules and regulations of Title XIII of the Tax Code (signed 17 February 2025, in force 20 February 2025, circularized by FIRB Advisory 001-2025); Memorandum Order 47 of 21 May 2026 approving the 2026 SIPP</w:t>
            </w:r>
          </w:p>
        </w:tc>
        <w:tc>
          <w:tcPr>
            <w:tcW w:type="dxa" w:w="2015"/>
          </w:tcPr>
          <w:p>
            <w:pPr>
              <w:pStyle w:val="Compact"/>
              <w:jc w:val="left"/>
            </w:pPr>
            <w:r>
              <w:rPr>
                <w:sz w:val="15"/>
              </w:rPr>
              <w:t xml:space="preserve">Congress; Department of Finance and Department of Trade and Industry; Office of the President</w:t>
            </w:r>
          </w:p>
        </w:tc>
        <w:tc>
          <w:tcPr>
            <w:tcW w:type="dxa" w:w="2015"/>
          </w:tcPr>
          <w:p>
            <w:pPr>
              <w:pStyle w:val="Compact"/>
              <w:jc w:val="left"/>
            </w:pPr>
            <w:r>
              <w:rPr>
                <w:sz w:val="15"/>
              </w:rPr>
              <w:t xml:space="preserve">Act 2024; rules February 2025; SIPP 2026</w:t>
            </w:r>
          </w:p>
        </w:tc>
        <w:tc>
          <w:tcPr>
            <w:tcW w:type="dxa" w:w="2187"/>
          </w:tcPr>
          <w:p>
            <w:pPr>
              <w:pStyle w:val="Compact"/>
              <w:jc w:val="left"/>
            </w:pPr>
            <w:r>
              <w:rPr>
                <w:sz w:val="15"/>
              </w:rPr>
              <w:t xml:space="preserve">English (original)</w:t>
            </w:r>
          </w:p>
        </w:tc>
        <w:tc>
          <w:tcPr>
            <w:tcW w:type="dxa" w:w="2418"/>
          </w:tcPr>
          <w:p>
            <w:pPr>
              <w:pStyle w:val="Compact"/>
              <w:jc w:val="left"/>
            </w:pPr>
            <w:r>
              <w:rPr>
                <w:sz w:val="15"/>
              </w:rPr>
              <w:t xml:space="preserve">All three read in full 9 October 2026</w:t>
            </w:r>
          </w:p>
        </w:tc>
        <w:tc>
          <w:tcPr>
            <w:tcW w:type="dxa" w:w="2763"/>
          </w:tcPr>
          <w:p>
            <w:pPr>
              <w:pStyle w:val="Compact"/>
              <w:jc w:val="left"/>
            </w:pPr>
            <w:r>
              <w:rPr>
                <w:sz w:val="15"/>
              </w:rPr>
              <w:t xml:space="preserve">FIRB Advisory 009-2026 circularizing the 2026 SIPP identified; the SIPP qualification guidelines and the FIRB’s published amendments not yet read (not yet read)</w:t>
            </w:r>
          </w:p>
        </w:tc>
      </w:tr>
    </w:tbl>
    <w:p>
      <w:pPr>
        <w:pStyle w:val="BodyText"/>
      </w:pPr>
      <w:r>
        <w:rPr>
          <w:iCs/>
          <w:i/>
        </w:rPr>
        <w:t xml:space="preserve">Note.</w:t>
      </w:r>
      <w:r>
        <w:t xml:space="preserve"> </w:t>
      </w:r>
      <w:r>
        <w:t xml:space="preserve">Currency figures are converted at about 35.7 baht, 4.55 ringgit and 57.7 pesos to the US dollar. The Vietnamese texts were read through a commercial legal database, not the official gazette.</w:t>
      </w:r>
    </w:p>
    <w:bookmarkEnd w:id="27"/>
    <w:bookmarkStart w:id="28" w:name="table-s3.-full-evidence-matrix"/>
    <w:p>
      <w:pPr>
        <w:pStyle w:val="Heading2"/>
      </w:pPr>
      <w:r>
        <w:t xml:space="preserve">Table S3. Full evidence matrix</w:t>
      </w:r>
    </w:p>
    <w:p>
      <w:pPr>
        <w:pStyle w:val="FirstParagraph"/>
      </w:pPr>
      <w:r>
        <w:t xml:space="preserve">Rating rubric. A hypothesis is rated</w:t>
      </w:r>
      <w:r>
        <w:t xml:space="preserve"> </w:t>
      </w:r>
      <w:r>
        <w:rPr>
          <w:iCs/>
          <w:i/>
        </w:rPr>
        <w:t xml:space="preserve">expected</w:t>
      </w:r>
      <w:r>
        <w:t xml:space="preserve"> </w:t>
      </w:r>
      <w:r>
        <w:t xml:space="preserve">(E) when a stated prediction (P1a to P3c, Section 2.4 of the manuscript) predicts the evidence,</w:t>
      </w:r>
      <w:r>
        <w:t xml:space="preserve"> </w:t>
      </w:r>
      <w:r>
        <w:rPr>
          <w:iCs/>
          <w:i/>
        </w:rPr>
        <w:t xml:space="preserve">compatible</w:t>
      </w:r>
      <w:r>
        <w:t xml:space="preserve"> </w:t>
      </w:r>
      <w:r>
        <w:t xml:space="preserve">(C) when no prediction covers it and it is not in tension with any,</w:t>
      </w:r>
      <w:r>
        <w:t xml:space="preserve"> </w:t>
      </w:r>
      <w:r>
        <w:rPr>
          <w:iCs/>
          <w:i/>
        </w:rPr>
        <w:t xml:space="preserve">unexpected</w:t>
      </w:r>
      <w:r>
        <w:t xml:space="preserve"> </w:t>
      </w:r>
      <w:r>
        <w:t xml:space="preserve">(U) when it is in tension with a prediction or can be reconciled only with an additional assumption, and</w:t>
      </w:r>
      <w:r>
        <w:t xml:space="preserve"> </w:t>
      </w:r>
      <w:r>
        <w:rPr>
          <w:iCs/>
          <w:i/>
        </w:rPr>
        <w:t xml:space="preserve">contradicted</w:t>
      </w:r>
      <w:r>
        <w:t xml:space="preserve"> </w:t>
      </w:r>
      <w:r>
        <w:t xml:space="preserve">(X) when it is inconsistent with the hypothesis. The weight for the pair a row separates is</w:t>
      </w:r>
      <w:r>
        <w:t xml:space="preserve"> </w:t>
      </w:r>
      <w:r>
        <w:rPr>
          <w:iCs/>
          <w:i/>
        </w:rPr>
        <w:t xml:space="preserve">strong</w:t>
      </w:r>
      <w:r>
        <w:t xml:space="preserve"> </w:t>
      </w:r>
      <w:r>
        <w:t xml:space="preserve">if one hypothesis is E, the other U or X, the coding is verified and no auxiliary assumption is needed;</w:t>
      </w:r>
      <w:r>
        <w:t xml:space="preserve"> </w:t>
      </w:r>
      <w:r>
        <w:rPr>
          <w:iCs/>
          <w:i/>
        </w:rPr>
        <w:t xml:space="preserve">moderate</w:t>
      </w:r>
      <w:r>
        <w:t xml:space="preserve"> </w:t>
      </w:r>
      <w:r>
        <w:t xml:space="preserve">if it depends on assumption A1 or on coding not yet verified; and</w:t>
      </w:r>
      <w:r>
        <w:t xml:space="preserve"> </w:t>
      </w:r>
      <w:r>
        <w:rPr>
          <w:iCs/>
          <w:i/>
        </w:rPr>
        <w:t xml:space="preserve">weak</w:t>
      </w:r>
      <w:r>
        <w:t xml:space="preserve"> </w:t>
      </w:r>
      <w:r>
        <w:t xml:space="preserve">if no hypothesis is U or X.</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748"/>
        <w:gridCol w:w="2878"/>
        <w:gridCol w:w="2014"/>
        <w:gridCol w:w="2014"/>
        <w:gridCol w:w="2187"/>
        <w:gridCol w:w="2417"/>
        <w:gridCol w:w="2762"/>
      </w:tblGrid>
      <w:tr>
        <w:trPr>
          <w:tblHeader w:val="true"/>
        </w:trPr>
        <w:tc>
          <w:tcPr>
            <w:tcW w:type="dxa" w:w="748"/>
          </w:tcPr>
          <w:p>
            <w:pPr>
              <w:pStyle w:val="Compact"/>
              <w:jc w:val="left"/>
            </w:pPr>
            <w:r>
              <w:rPr>
                <w:b/>
                <w:sz w:val="15"/>
              </w:rPr>
              <w:t xml:space="preserve">#</w:t>
            </w:r>
          </w:p>
        </w:tc>
        <w:tc>
          <w:tcPr>
            <w:tcW w:type="dxa" w:w="2878"/>
          </w:tcPr>
          <w:p>
            <w:pPr>
              <w:pStyle w:val="Compact"/>
              <w:jc w:val="left"/>
            </w:pPr>
            <w:r>
              <w:rPr>
                <w:b/>
                <w:sz w:val="15"/>
              </w:rPr>
              <w:t xml:space="preserve">Evidence (country)</w:t>
            </w:r>
          </w:p>
        </w:tc>
        <w:tc>
          <w:tcPr>
            <w:tcW w:type="dxa" w:w="2015"/>
          </w:tcPr>
          <w:p>
            <w:pPr>
              <w:pStyle w:val="Compact"/>
              <w:jc w:val="left"/>
            </w:pPr>
            <w:r>
              <w:rPr>
                <w:b/>
                <w:sz w:val="15"/>
              </w:rPr>
              <w:t xml:space="preserve">H1 cost</w:t>
            </w:r>
          </w:p>
        </w:tc>
        <w:tc>
          <w:tcPr>
            <w:tcW w:type="dxa" w:w="2015"/>
          </w:tcPr>
          <w:p>
            <w:pPr>
              <w:pStyle w:val="Compact"/>
              <w:jc w:val="left"/>
            </w:pPr>
            <w:r>
              <w:rPr>
                <w:b/>
                <w:sz w:val="15"/>
              </w:rPr>
              <w:t xml:space="preserve">H2 design</w:t>
            </w:r>
          </w:p>
        </w:tc>
        <w:tc>
          <w:tcPr>
            <w:tcW w:type="dxa" w:w="2187"/>
          </w:tcPr>
          <w:p>
            <w:pPr>
              <w:pStyle w:val="Compact"/>
              <w:jc w:val="left"/>
            </w:pPr>
            <w:r>
              <w:rPr>
                <w:b/>
                <w:sz w:val="15"/>
              </w:rPr>
              <w:t xml:space="preserve">H3 habit</w:t>
            </w:r>
          </w:p>
        </w:tc>
        <w:tc>
          <w:tcPr>
            <w:tcW w:type="dxa" w:w="2418"/>
          </w:tcPr>
          <w:p>
            <w:pPr>
              <w:pStyle w:val="Compact"/>
              <w:jc w:val="left"/>
            </w:pPr>
            <w:r>
              <w:rPr>
                <w:b/>
                <w:sz w:val="15"/>
              </w:rPr>
              <w:t xml:space="preserve">Pair separated and weight</w:t>
            </w:r>
          </w:p>
        </w:tc>
        <w:tc>
          <w:tcPr>
            <w:tcW w:type="dxa" w:w="2763"/>
          </w:tcPr>
          <w:p>
            <w:pPr>
              <w:pStyle w:val="Compact"/>
              <w:jc w:val="left"/>
            </w:pPr>
            <w:r>
              <w:rPr>
                <w:b/>
                <w:sz w:val="15"/>
              </w:rPr>
              <w:t xml:space="preserve">What would change the rating</w:t>
            </w:r>
          </w:p>
        </w:tc>
      </w:tr>
      <w:tr>
        <w:tc>
          <w:tcPr>
            <w:tcW w:type="dxa" w:w="748"/>
          </w:tcPr>
          <w:p>
            <w:pPr>
              <w:pStyle w:val="Compact"/>
              <w:jc w:val="left"/>
            </w:pPr>
            <w:r>
              <w:rPr>
                <w:sz w:val="15"/>
              </w:rPr>
              <w:t xml:space="preserve">E1</w:t>
            </w:r>
          </w:p>
        </w:tc>
        <w:tc>
          <w:tcPr>
            <w:tcW w:type="dxa" w:w="2878"/>
          </w:tcPr>
          <w:p>
            <w:pPr>
              <w:pStyle w:val="Compact"/>
              <w:jc w:val="left"/>
            </w:pPr>
            <w:r>
              <w:rPr>
                <w:sz w:val="15"/>
              </w:rPr>
              <w:t xml:space="preserve">Software threshold far below GPU-hosting capital condition (Thailand)</w:t>
            </w:r>
          </w:p>
        </w:tc>
        <w:tc>
          <w:tcPr>
            <w:tcW w:type="dxa" w:w="2015"/>
          </w:tcPr>
          <w:p>
            <w:pPr>
              <w:pStyle w:val="Compact"/>
              <w:jc w:val="left"/>
            </w:pPr>
            <w:r>
              <w:rPr>
                <w:sz w:val="15"/>
              </w:rPr>
              <w:t xml:space="preserve">E (P1a)</w:t>
            </w:r>
          </w:p>
        </w:tc>
        <w:tc>
          <w:tcPr>
            <w:tcW w:type="dxa" w:w="2015"/>
          </w:tcPr>
          <w:p>
            <w:pPr>
              <w:pStyle w:val="Compact"/>
              <w:jc w:val="left"/>
            </w:pPr>
            <w:r>
              <w:rPr>
                <w:sz w:val="15"/>
              </w:rPr>
              <w:t xml:space="preserve">C</w:t>
            </w:r>
          </w:p>
        </w:tc>
        <w:tc>
          <w:tcPr>
            <w:tcW w:type="dxa" w:w="2187"/>
          </w:tcPr>
          <w:p>
            <w:pPr>
              <w:pStyle w:val="Compact"/>
              <w:jc w:val="left"/>
            </w:pPr>
            <w:r>
              <w:rPr>
                <w:sz w:val="15"/>
              </w:rPr>
              <w:t xml:space="preserve">C</w:t>
            </w:r>
          </w:p>
        </w:tc>
        <w:tc>
          <w:tcPr>
            <w:tcW w:type="dxa" w:w="2418"/>
          </w:tcPr>
          <w:p>
            <w:pPr>
              <w:pStyle w:val="Compact"/>
              <w:jc w:val="left"/>
            </w:pPr>
            <w:r>
              <w:rPr>
                <w:sz w:val="15"/>
              </w:rPr>
              <w:t xml:space="preserve">None: Weak</w:t>
            </w:r>
          </w:p>
        </w:tc>
        <w:tc>
          <w:tcPr>
            <w:tcW w:type="dxa" w:w="2763"/>
          </w:tcPr>
          <w:p>
            <w:pPr>
              <w:pStyle w:val="Compact"/>
              <w:jc w:val="left"/>
            </w:pPr>
            <w:r>
              <w:rPr>
                <w:sz w:val="15"/>
              </w:rPr>
              <w:t xml:space="preserve">Not diagnostic</w:t>
            </w:r>
          </w:p>
        </w:tc>
      </w:tr>
      <w:tr>
        <w:tc>
          <w:tcPr>
            <w:tcW w:type="dxa" w:w="748"/>
          </w:tcPr>
          <w:p>
            <w:pPr>
              <w:pStyle w:val="Compact"/>
              <w:jc w:val="left"/>
            </w:pPr>
            <w:r>
              <w:rPr>
                <w:sz w:val="15"/>
              </w:rPr>
              <w:t xml:space="preserve">E2</w:t>
            </w:r>
          </w:p>
        </w:tc>
        <w:tc>
          <w:tcPr>
            <w:tcW w:type="dxa" w:w="2878"/>
          </w:tcPr>
          <w:p>
            <w:pPr>
              <w:pStyle w:val="Compact"/>
              <w:jc w:val="left"/>
            </w:pPr>
            <w:r>
              <w:rPr>
                <w:sz w:val="15"/>
              </w:rPr>
              <w:t xml:space="preserve">Malaysia’s low-capital digital track covers cloud (RM50,000 paid-up capital), beside a data-centre track whose smallest category is 0.85 MW</w:t>
            </w:r>
          </w:p>
        </w:tc>
        <w:tc>
          <w:tcPr>
            <w:tcW w:type="dxa" w:w="2015"/>
          </w:tcPr>
          <w:p>
            <w:pPr>
              <w:pStyle w:val="Compact"/>
              <w:jc w:val="left"/>
            </w:pPr>
            <w:r>
              <w:rPr>
                <w:sz w:val="15"/>
              </w:rPr>
              <w:t xml:space="preserve">C</w:t>
            </w:r>
          </w:p>
        </w:tc>
        <w:tc>
          <w:tcPr>
            <w:tcW w:type="dxa" w:w="2015"/>
          </w:tcPr>
          <w:p>
            <w:pPr>
              <w:pStyle w:val="Compact"/>
              <w:jc w:val="left"/>
            </w:pPr>
            <w:r>
              <w:rPr>
                <w:sz w:val="15"/>
              </w:rPr>
              <w:t xml:space="preserve">U (P2a, if the MD track admits capacity resale, which we have not confirmed)</w:t>
            </w:r>
          </w:p>
        </w:tc>
        <w:tc>
          <w:tcPr>
            <w:tcW w:type="dxa" w:w="2187"/>
          </w:tcPr>
          <w:p>
            <w:pPr>
              <w:pStyle w:val="Compact"/>
              <w:jc w:val="left"/>
            </w:pPr>
            <w:r>
              <w:rPr>
                <w:sz w:val="15"/>
              </w:rPr>
              <w:t xml:space="preserve">C</w:t>
            </w:r>
          </w:p>
        </w:tc>
        <w:tc>
          <w:tcPr>
            <w:tcW w:type="dxa" w:w="2418"/>
          </w:tcPr>
          <w:p>
            <w:pPr>
              <w:pStyle w:val="Compact"/>
              <w:jc w:val="left"/>
            </w:pPr>
            <w:r>
              <w:rPr>
                <w:sz w:val="15"/>
              </w:rPr>
              <w:t xml:space="preserve">H2 against H1 and H3: Moderate, provisional</w:t>
            </w:r>
          </w:p>
        </w:tc>
        <w:tc>
          <w:tcPr>
            <w:tcW w:type="dxa" w:w="2763"/>
          </w:tcPr>
          <w:p>
            <w:pPr>
              <w:pStyle w:val="Compact"/>
              <w:jc w:val="left"/>
            </w:pPr>
            <w:r>
              <w:rPr>
                <w:sz w:val="15"/>
              </w:rPr>
              <w:t xml:space="preserve">MDEC’s reading of MD activities</w:t>
            </w:r>
          </w:p>
        </w:tc>
      </w:tr>
      <w:tr>
        <w:tc>
          <w:tcPr>
            <w:tcW w:type="dxa" w:w="748"/>
          </w:tcPr>
          <w:p>
            <w:pPr>
              <w:pStyle w:val="Compact"/>
              <w:jc w:val="left"/>
            </w:pPr>
            <w:r>
              <w:rPr>
                <w:sz w:val="15"/>
              </w:rPr>
              <w:t xml:space="preserve">E3</w:t>
            </w:r>
          </w:p>
        </w:tc>
        <w:tc>
          <w:tcPr>
            <w:tcW w:type="dxa" w:w="2878"/>
          </w:tcPr>
          <w:p>
            <w:pPr>
              <w:pStyle w:val="Compact"/>
              <w:jc w:val="left"/>
            </w:pPr>
            <w:r>
              <w:rPr>
                <w:sz w:val="15"/>
              </w:rPr>
              <w:t xml:space="preserve">No instrument aimed at sub-facility compute (Thailand, Vietnam, Philippines; absence on coded instruments)</w:t>
            </w:r>
          </w:p>
        </w:tc>
        <w:tc>
          <w:tcPr>
            <w:tcW w:type="dxa" w:w="2015"/>
          </w:tcPr>
          <w:p>
            <w:pPr>
              <w:pStyle w:val="Compact"/>
              <w:jc w:val="left"/>
            </w:pPr>
            <w:r>
              <w:rPr>
                <w:sz w:val="15"/>
              </w:rPr>
              <w:t xml:space="preserve">U if A1 holds, E if A1 fails</w:t>
            </w:r>
          </w:p>
        </w:tc>
        <w:tc>
          <w:tcPr>
            <w:tcW w:type="dxa" w:w="2015"/>
          </w:tcPr>
          <w:p>
            <w:pPr>
              <w:pStyle w:val="Compact"/>
              <w:jc w:val="left"/>
            </w:pPr>
            <w:r>
              <w:rPr>
                <w:sz w:val="15"/>
              </w:rPr>
              <w:t xml:space="preserve">E if A1 holds (P2a)</w:t>
            </w:r>
          </w:p>
        </w:tc>
        <w:tc>
          <w:tcPr>
            <w:tcW w:type="dxa" w:w="2187"/>
          </w:tcPr>
          <w:p>
            <w:pPr>
              <w:pStyle w:val="Compact"/>
              <w:jc w:val="left"/>
            </w:pPr>
            <w:r>
              <w:rPr>
                <w:sz w:val="15"/>
              </w:rPr>
              <w:t xml:space="preserve">E (P3b)</w:t>
            </w:r>
          </w:p>
        </w:tc>
        <w:tc>
          <w:tcPr>
            <w:tcW w:type="dxa" w:w="2418"/>
          </w:tcPr>
          <w:p>
            <w:pPr>
              <w:pStyle w:val="Compact"/>
              <w:jc w:val="left"/>
            </w:pPr>
            <w:r>
              <w:rPr>
                <w:sz w:val="15"/>
              </w:rPr>
              <w:t xml:space="preserve">H1 against {H2, H3}: Moderate, conditional on A1 and on the search protocol</w:t>
            </w:r>
          </w:p>
        </w:tc>
        <w:tc>
          <w:tcPr>
            <w:tcW w:type="dxa" w:w="2763"/>
          </w:tcPr>
          <w:p>
            <w:pPr>
              <w:pStyle w:val="Compact"/>
              <w:jc w:val="left"/>
            </w:pPr>
            <w:r>
              <w:rPr>
                <w:sz w:val="15"/>
              </w:rPr>
              <w:t xml:space="preserve">Viability benchmark; applicable general instrument; hypothetical-firm test</w:t>
            </w:r>
          </w:p>
        </w:tc>
      </w:tr>
      <w:tr>
        <w:tc>
          <w:tcPr>
            <w:tcW w:type="dxa" w:w="748"/>
          </w:tcPr>
          <w:p>
            <w:pPr>
              <w:pStyle w:val="Compact"/>
              <w:jc w:val="left"/>
            </w:pPr>
            <w:r>
              <w:rPr>
                <w:sz w:val="15"/>
              </w:rPr>
              <w:t xml:space="preserve">E4</w:t>
            </w:r>
          </w:p>
        </w:tc>
        <w:tc>
          <w:tcPr>
            <w:tcW w:type="dxa" w:w="2878"/>
          </w:tcPr>
          <w:p>
            <w:pPr>
              <w:pStyle w:val="Compact"/>
              <w:jc w:val="left"/>
            </w:pPr>
            <w:r>
              <w:rPr>
                <w:sz w:val="15"/>
              </w:rPr>
              <w:t xml:space="preserve">No capital condition at the compute layers despite their capital intensity (Vietnam, Philippines)</w:t>
            </w:r>
          </w:p>
        </w:tc>
        <w:tc>
          <w:tcPr>
            <w:tcW w:type="dxa" w:w="2015"/>
          </w:tcPr>
          <w:p>
            <w:pPr>
              <w:pStyle w:val="Compact"/>
              <w:jc w:val="left"/>
            </w:pPr>
            <w:r>
              <w:rPr>
                <w:sz w:val="15"/>
              </w:rPr>
              <w:t xml:space="preserve">U (P1b)</w:t>
            </w:r>
          </w:p>
        </w:tc>
        <w:tc>
          <w:tcPr>
            <w:tcW w:type="dxa" w:w="2015"/>
          </w:tcPr>
          <w:p>
            <w:pPr>
              <w:pStyle w:val="Compact"/>
              <w:jc w:val="left"/>
            </w:pPr>
            <w:r>
              <w:rPr>
                <w:sz w:val="15"/>
              </w:rPr>
              <w:t xml:space="preserve">C</w:t>
            </w:r>
          </w:p>
        </w:tc>
        <w:tc>
          <w:tcPr>
            <w:tcW w:type="dxa" w:w="2187"/>
          </w:tcPr>
          <w:p>
            <w:pPr>
              <w:pStyle w:val="Compact"/>
              <w:jc w:val="left"/>
            </w:pPr>
            <w:r>
              <w:rPr>
                <w:sz w:val="15"/>
              </w:rPr>
              <w:t xml:space="preserve">C</w:t>
            </w:r>
          </w:p>
        </w:tc>
        <w:tc>
          <w:tcPr>
            <w:tcW w:type="dxa" w:w="2418"/>
          </w:tcPr>
          <w:p>
            <w:pPr>
              <w:pStyle w:val="Compact"/>
              <w:jc w:val="left"/>
            </w:pPr>
            <w:r>
              <w:rPr>
                <w:sz w:val="15"/>
              </w:rPr>
              <w:t xml:space="preserve">H1 against {H2, H3}: Moderate; rests on Decision 21/2026, Decree 260 and the Act and Plan, with the Vietnamese circulars and the Philippine qualification guidelines unread</w:t>
            </w:r>
          </w:p>
        </w:tc>
        <w:tc>
          <w:tcPr>
            <w:tcW w:type="dxa" w:w="2763"/>
          </w:tcPr>
          <w:p>
            <w:pPr>
              <w:pStyle w:val="Compact"/>
              <w:jc w:val="left"/>
            </w:pPr>
            <w:r>
              <w:rPr>
                <w:sz w:val="15"/>
              </w:rPr>
              <w:t xml:space="preserve">The circulars and the guidelines</w:t>
            </w:r>
          </w:p>
        </w:tc>
      </w:tr>
      <w:tr>
        <w:tc>
          <w:tcPr>
            <w:tcW w:type="dxa" w:w="748"/>
          </w:tcPr>
          <w:p>
            <w:pPr>
              <w:pStyle w:val="Compact"/>
              <w:jc w:val="left"/>
            </w:pPr>
            <w:r>
              <w:rPr>
                <w:sz w:val="15"/>
              </w:rPr>
              <w:t xml:space="preserve">E5</w:t>
            </w:r>
          </w:p>
        </w:tc>
        <w:tc>
          <w:tcPr>
            <w:tcW w:type="dxa" w:w="2878"/>
          </w:tcPr>
          <w:p>
            <w:pPr>
              <w:pStyle w:val="Compact"/>
              <w:jc w:val="left"/>
            </w:pPr>
            <w:r>
              <w:rPr>
                <w:sz w:val="15"/>
              </w:rPr>
              <w:t xml:space="preserve">Extension of the exemption tied to spending of at least 1% of sales, or THB 200m if lower, in the first three years (Thailand; cross-sectoral measure, verified)</w:t>
            </w:r>
          </w:p>
        </w:tc>
        <w:tc>
          <w:tcPr>
            <w:tcW w:type="dxa" w:w="2015"/>
          </w:tcPr>
          <w:p>
            <w:pPr>
              <w:pStyle w:val="Compact"/>
              <w:jc w:val="left"/>
            </w:pPr>
            <w:r>
              <w:rPr>
                <w:sz w:val="15"/>
              </w:rPr>
              <w:t xml:space="preserve">U (P1c)</w:t>
            </w:r>
          </w:p>
        </w:tc>
        <w:tc>
          <w:tcPr>
            <w:tcW w:type="dxa" w:w="2015"/>
          </w:tcPr>
          <w:p>
            <w:pPr>
              <w:pStyle w:val="Compact"/>
              <w:jc w:val="left"/>
            </w:pPr>
            <w:r>
              <w:rPr>
                <w:sz w:val="15"/>
              </w:rPr>
              <w:t xml:space="preserve">E (P2b)</w:t>
            </w:r>
          </w:p>
        </w:tc>
        <w:tc>
          <w:tcPr>
            <w:tcW w:type="dxa" w:w="2187"/>
          </w:tcPr>
          <w:p>
            <w:pPr>
              <w:pStyle w:val="Compact"/>
              <w:jc w:val="left"/>
            </w:pPr>
            <w:r>
              <w:rPr>
                <w:sz w:val="15"/>
              </w:rPr>
              <w:t xml:space="preserve">E (P3a)</w:t>
            </w:r>
          </w:p>
        </w:tc>
        <w:tc>
          <w:tcPr>
            <w:tcW w:type="dxa" w:w="2418"/>
          </w:tcPr>
          <w:p>
            <w:pPr>
              <w:pStyle w:val="Compact"/>
              <w:jc w:val="left"/>
            </w:pPr>
            <w:r>
              <w:rPr>
                <w:sz w:val="15"/>
              </w:rPr>
              <w:t xml:space="preserve">H1 against {H2, H3}: Moderate</w:t>
            </w:r>
          </w:p>
        </w:tc>
        <w:tc>
          <w:tcPr>
            <w:tcW w:type="dxa" w:w="2763"/>
          </w:tcPr>
          <w:p>
            <w:pPr>
              <w:pStyle w:val="Compact"/>
              <w:jc w:val="left"/>
            </w:pPr>
            <w:r>
              <w:rPr>
                <w:sz w:val="15"/>
              </w:rPr>
              <w:t xml:space="preserve">How BOI applies the measure to firms without early sales</w:t>
            </w:r>
          </w:p>
        </w:tc>
      </w:tr>
      <w:tr>
        <w:tc>
          <w:tcPr>
            <w:tcW w:type="dxa" w:w="748"/>
          </w:tcPr>
          <w:p>
            <w:pPr>
              <w:pStyle w:val="Compact"/>
              <w:jc w:val="left"/>
            </w:pPr>
            <w:r>
              <w:rPr>
                <w:sz w:val="15"/>
              </w:rPr>
              <w:t xml:space="preserve">E6</w:t>
            </w:r>
          </w:p>
        </w:tc>
        <w:tc>
          <w:tcPr>
            <w:tcW w:type="dxa" w:w="2878"/>
          </w:tcPr>
          <w:p>
            <w:pPr>
              <w:pStyle w:val="Compact"/>
              <w:jc w:val="left"/>
            </w:pPr>
            <w:r>
              <w:rPr>
                <w:sz w:val="15"/>
              </w:rPr>
              <w:t xml:space="preserve">Auditor-verified annual self-declaration at the company’s cost in the low-capital track (Malaysia; verified against the July 2025 guideline)</w:t>
            </w:r>
          </w:p>
        </w:tc>
        <w:tc>
          <w:tcPr>
            <w:tcW w:type="dxa" w:w="2015"/>
          </w:tcPr>
          <w:p>
            <w:pPr>
              <w:pStyle w:val="Compact"/>
              <w:jc w:val="left"/>
            </w:pPr>
            <w:r>
              <w:rPr>
                <w:sz w:val="15"/>
              </w:rPr>
              <w:t xml:space="preserve">U (P1d)</w:t>
            </w:r>
          </w:p>
        </w:tc>
        <w:tc>
          <w:tcPr>
            <w:tcW w:type="dxa" w:w="2015"/>
          </w:tcPr>
          <w:p>
            <w:pPr>
              <w:pStyle w:val="Compact"/>
              <w:jc w:val="left"/>
            </w:pPr>
            <w:r>
              <w:rPr>
                <w:sz w:val="15"/>
              </w:rPr>
              <w:t xml:space="preserve">E (P2b)</w:t>
            </w:r>
          </w:p>
        </w:tc>
        <w:tc>
          <w:tcPr>
            <w:tcW w:type="dxa" w:w="2187"/>
          </w:tcPr>
          <w:p>
            <w:pPr>
              <w:pStyle w:val="Compact"/>
              <w:jc w:val="left"/>
            </w:pPr>
            <w:r>
              <w:rPr>
                <w:sz w:val="15"/>
              </w:rPr>
              <w:t xml:space="preserve">C</w:t>
            </w:r>
          </w:p>
        </w:tc>
        <w:tc>
          <w:tcPr>
            <w:tcW w:type="dxa" w:w="2418"/>
          </w:tcPr>
          <w:p>
            <w:pPr>
              <w:pStyle w:val="Compact"/>
              <w:jc w:val="left"/>
            </w:pPr>
            <w:r>
              <w:rPr>
                <w:sz w:val="15"/>
              </w:rPr>
              <w:t xml:space="preserve">H1 against H2: Moderate; audit cost unmeasured</w:t>
            </w:r>
          </w:p>
        </w:tc>
        <w:tc>
          <w:tcPr>
            <w:tcW w:type="dxa" w:w="2763"/>
          </w:tcPr>
          <w:p>
            <w:pPr>
              <w:pStyle w:val="Compact"/>
              <w:jc w:val="left"/>
            </w:pPr>
            <w:r>
              <w:rPr>
                <w:sz w:val="15"/>
              </w:rPr>
              <w:t xml:space="preserve">Audit cost relative to RM50,000 of capital</w:t>
            </w:r>
          </w:p>
        </w:tc>
      </w:tr>
      <w:tr>
        <w:tc>
          <w:tcPr>
            <w:tcW w:type="dxa" w:w="748"/>
          </w:tcPr>
          <w:p>
            <w:pPr>
              <w:pStyle w:val="Compact"/>
              <w:jc w:val="left"/>
            </w:pPr>
            <w:r>
              <w:rPr>
                <w:sz w:val="15"/>
              </w:rPr>
              <w:t xml:space="preserve">E7</w:t>
            </w:r>
          </w:p>
        </w:tc>
        <w:tc>
          <w:tcPr>
            <w:tcW w:type="dxa" w:w="2878"/>
          </w:tcPr>
          <w:p>
            <w:pPr>
              <w:pStyle w:val="Compact"/>
              <w:jc w:val="left"/>
            </w:pPr>
            <w:r>
              <w:rPr>
                <w:sz w:val="15"/>
              </w:rPr>
              <w:t xml:space="preserve">Common firm-scale boundary for all activities in the Act (Philippines); activity tiers that name AI and data centres</w:t>
            </w:r>
          </w:p>
        </w:tc>
        <w:tc>
          <w:tcPr>
            <w:tcW w:type="dxa" w:w="2015"/>
          </w:tcPr>
          <w:p>
            <w:pPr>
              <w:pStyle w:val="Compact"/>
              <w:jc w:val="left"/>
            </w:pPr>
            <w:r>
              <w:rPr>
                <w:sz w:val="15"/>
              </w:rPr>
              <w:t xml:space="preserve">U (P1a, P1b)</w:t>
            </w:r>
          </w:p>
        </w:tc>
        <w:tc>
          <w:tcPr>
            <w:tcW w:type="dxa" w:w="2015"/>
          </w:tcPr>
          <w:p>
            <w:pPr>
              <w:pStyle w:val="Compact"/>
              <w:jc w:val="left"/>
            </w:pPr>
            <w:r>
              <w:rPr>
                <w:sz w:val="15"/>
              </w:rPr>
              <w:t xml:space="preserve">C</w:t>
            </w:r>
          </w:p>
        </w:tc>
        <w:tc>
          <w:tcPr>
            <w:tcW w:type="dxa" w:w="2187"/>
          </w:tcPr>
          <w:p>
            <w:pPr>
              <w:pStyle w:val="Compact"/>
              <w:jc w:val="left"/>
            </w:pPr>
            <w:r>
              <w:rPr>
                <w:sz w:val="15"/>
              </w:rPr>
              <w:t xml:space="preserve">E (P3a) for the boundary; U for the tiers, which name AI</w:t>
            </w:r>
          </w:p>
        </w:tc>
        <w:tc>
          <w:tcPr>
            <w:tcW w:type="dxa" w:w="2418"/>
          </w:tcPr>
          <w:p>
            <w:pPr>
              <w:pStyle w:val="Compact"/>
              <w:jc w:val="left"/>
            </w:pPr>
            <w:r>
              <w:rPr>
                <w:sz w:val="15"/>
              </w:rPr>
              <w:t xml:space="preserve">H3 against H1: Weak to Moderate; Act, implementing rules and Plan read</w:t>
            </w:r>
          </w:p>
        </w:tc>
        <w:tc>
          <w:tcPr>
            <w:tcW w:type="dxa" w:w="2763"/>
          </w:tcPr>
          <w:p>
            <w:pPr>
              <w:pStyle w:val="Compact"/>
              <w:jc w:val="left"/>
            </w:pPr>
            <w:r>
              <w:rPr>
                <w:sz w:val="15"/>
              </w:rPr>
              <w:t xml:space="preserve">Pre-AI instruments with the same boundary; Plan guidelines</w:t>
            </w:r>
          </w:p>
        </w:tc>
      </w:tr>
      <w:tr>
        <w:tc>
          <w:tcPr>
            <w:tcW w:type="dxa" w:w="748"/>
          </w:tcPr>
          <w:p>
            <w:pPr>
              <w:pStyle w:val="Compact"/>
              <w:jc w:val="left"/>
            </w:pPr>
            <w:r>
              <w:rPr>
                <w:sz w:val="15"/>
              </w:rPr>
              <w:t xml:space="preserve">E8</w:t>
            </w:r>
          </w:p>
        </w:tc>
        <w:tc>
          <w:tcPr>
            <w:tcW w:type="dxa" w:w="2878"/>
          </w:tcPr>
          <w:p>
            <w:pPr>
              <w:pStyle w:val="Compact"/>
              <w:jc w:val="left"/>
            </w:pPr>
            <w:r>
              <w:rPr>
                <w:sz w:val="15"/>
              </w:rPr>
              <w:t xml:space="preserve">Explicit startup track with direct support and recognition by the provincial authority (Vietnam; verified against Decree 260/2026, Article 11)</w:t>
            </w:r>
          </w:p>
        </w:tc>
        <w:tc>
          <w:tcPr>
            <w:tcW w:type="dxa" w:w="2015"/>
          </w:tcPr>
          <w:p>
            <w:pPr>
              <w:pStyle w:val="Compact"/>
              <w:jc w:val="left"/>
            </w:pPr>
            <w:r>
              <w:rPr>
                <w:sz w:val="15"/>
              </w:rPr>
              <w:t xml:space="preserve">U (P1c)</w:t>
            </w:r>
          </w:p>
        </w:tc>
        <w:tc>
          <w:tcPr>
            <w:tcW w:type="dxa" w:w="2015"/>
          </w:tcPr>
          <w:p>
            <w:pPr>
              <w:pStyle w:val="Compact"/>
              <w:jc w:val="left"/>
            </w:pPr>
            <w:r>
              <w:rPr>
                <w:sz w:val="15"/>
              </w:rPr>
              <w:t xml:space="preserve">U (P2c)</w:t>
            </w:r>
          </w:p>
        </w:tc>
        <w:tc>
          <w:tcPr>
            <w:tcW w:type="dxa" w:w="2187"/>
          </w:tcPr>
          <w:p>
            <w:pPr>
              <w:pStyle w:val="Compact"/>
              <w:jc w:val="left"/>
            </w:pPr>
            <w:r>
              <w:rPr>
                <w:sz w:val="15"/>
              </w:rPr>
              <w:t xml:space="preserve">U (P3a; a 2026 design with no scale tiers)</w:t>
            </w:r>
          </w:p>
        </w:tc>
        <w:tc>
          <w:tcPr>
            <w:tcW w:type="dxa" w:w="2418"/>
          </w:tcPr>
          <w:p>
            <w:pPr>
              <w:pStyle w:val="Compact"/>
              <w:jc w:val="left"/>
            </w:pPr>
            <w:r>
              <w:rPr>
                <w:sz w:val="15"/>
              </w:rPr>
              <w:t xml:space="preserve">All three unexpected: no pair separated</w:t>
            </w:r>
          </w:p>
        </w:tc>
        <w:tc>
          <w:tcPr>
            <w:tcW w:type="dxa" w:w="2763"/>
          </w:tcPr>
          <w:p>
            <w:pPr>
              <w:pStyle w:val="Compact"/>
              <w:jc w:val="left"/>
            </w:pPr>
            <w:r>
              <w:rPr>
                <w:sz w:val="15"/>
              </w:rPr>
              <w:t xml:space="preserve">Take-up evidence</w:t>
            </w:r>
          </w:p>
        </w:tc>
      </w:tr>
      <w:tr>
        <w:tc>
          <w:tcPr>
            <w:tcW w:type="dxa" w:w="748"/>
          </w:tcPr>
          <w:p>
            <w:pPr>
              <w:pStyle w:val="Compact"/>
              <w:jc w:val="left"/>
            </w:pPr>
            <w:r>
              <w:rPr>
                <w:sz w:val="15"/>
              </w:rPr>
              <w:t xml:space="preserve">E9</w:t>
            </w:r>
          </w:p>
        </w:tc>
        <w:tc>
          <w:tcPr>
            <w:tcW w:type="dxa" w:w="2878"/>
          </w:tcPr>
          <w:p>
            <w:pPr>
              <w:pStyle w:val="Compact"/>
              <w:jc w:val="left"/>
            </w:pPr>
            <w:r>
              <w:rPr>
                <w:sz w:val="15"/>
              </w:rPr>
              <w:t xml:space="preserve">Official criticism of data-centre incentives on employment grounds (Malaysia)</w:t>
            </w:r>
          </w:p>
        </w:tc>
        <w:tc>
          <w:tcPr>
            <w:tcW w:type="dxa" w:w="2015"/>
          </w:tcPr>
          <w:p>
            <w:pPr>
              <w:pStyle w:val="Compact"/>
              <w:jc w:val="left"/>
            </w:pPr>
            <w:r>
              <w:rPr>
                <w:sz w:val="15"/>
              </w:rPr>
              <w:t xml:space="preserve">C</w:t>
            </w:r>
          </w:p>
        </w:tc>
        <w:tc>
          <w:tcPr>
            <w:tcW w:type="dxa" w:w="2015"/>
          </w:tcPr>
          <w:p>
            <w:pPr>
              <w:pStyle w:val="Compact"/>
              <w:jc w:val="left"/>
            </w:pPr>
            <w:r>
              <w:rPr>
                <w:sz w:val="15"/>
              </w:rPr>
              <w:t xml:space="preserve">C</w:t>
            </w:r>
          </w:p>
        </w:tc>
        <w:tc>
          <w:tcPr>
            <w:tcW w:type="dxa" w:w="2187"/>
          </w:tcPr>
          <w:p>
            <w:pPr>
              <w:pStyle w:val="Compact"/>
              <w:jc w:val="left"/>
            </w:pPr>
            <w:r>
              <w:rPr>
                <w:sz w:val="15"/>
              </w:rPr>
              <w:t xml:space="preserve">C</w:t>
            </w:r>
          </w:p>
        </w:tc>
        <w:tc>
          <w:tcPr>
            <w:tcW w:type="dxa" w:w="2418"/>
          </w:tcPr>
          <w:p>
            <w:pPr>
              <w:pStyle w:val="Compact"/>
              <w:jc w:val="left"/>
            </w:pPr>
            <w:r>
              <w:rPr>
                <w:sz w:val="15"/>
              </w:rPr>
              <w:t xml:space="preserve">None: Weak</w:t>
            </w:r>
          </w:p>
        </w:tc>
        <w:tc>
          <w:tcPr>
            <w:tcW w:type="dxa" w:w="2763"/>
          </w:tcPr>
          <w:p>
            <w:pPr>
              <w:pStyle w:val="Compact"/>
              <w:jc w:val="left"/>
            </w:pPr>
            <w:r>
              <w:rPr>
                <w:sz w:val="15"/>
              </w:rPr>
              <w:t xml:space="preserve">Evidence on whether the criticism cited firm size</w:t>
            </w:r>
          </w:p>
        </w:tc>
      </w:tr>
      <w:tr>
        <w:tc>
          <w:tcPr>
            <w:tcW w:type="dxa" w:w="748"/>
          </w:tcPr>
          <w:p>
            <w:pPr>
              <w:pStyle w:val="Compact"/>
              <w:jc w:val="left"/>
            </w:pPr>
            <w:r>
              <w:rPr>
                <w:sz w:val="15"/>
              </w:rPr>
              <w:t xml:space="preserve">E10</w:t>
            </w:r>
          </w:p>
        </w:tc>
        <w:tc>
          <w:tcPr>
            <w:tcW w:type="dxa" w:w="2878"/>
          </w:tcPr>
          <w:p>
            <w:pPr>
              <w:pStyle w:val="Compact"/>
              <w:jc w:val="left"/>
            </w:pPr>
            <w:r>
              <w:rPr>
                <w:sz w:val="15"/>
              </w:rPr>
              <w:t xml:space="preserve">Thai-held share of capital falls with depth (46, 15, 0 per cent; Thailand)</w:t>
            </w:r>
          </w:p>
        </w:tc>
        <w:tc>
          <w:tcPr>
            <w:tcW w:type="dxa" w:w="2015"/>
          </w:tcPr>
          <w:p>
            <w:pPr>
              <w:pStyle w:val="Compact"/>
              <w:jc w:val="left"/>
            </w:pPr>
            <w:r>
              <w:rPr>
                <w:sz w:val="15"/>
              </w:rPr>
              <w:t xml:space="preserve">C</w:t>
            </w:r>
          </w:p>
        </w:tc>
        <w:tc>
          <w:tcPr>
            <w:tcW w:type="dxa" w:w="2015"/>
          </w:tcPr>
          <w:p>
            <w:pPr>
              <w:pStyle w:val="Compact"/>
              <w:jc w:val="left"/>
            </w:pPr>
            <w:r>
              <w:rPr>
                <w:sz w:val="15"/>
              </w:rPr>
              <w:t xml:space="preserve">C</w:t>
            </w:r>
          </w:p>
        </w:tc>
        <w:tc>
          <w:tcPr>
            <w:tcW w:type="dxa" w:w="2187"/>
          </w:tcPr>
          <w:p>
            <w:pPr>
              <w:pStyle w:val="Compact"/>
              <w:jc w:val="left"/>
            </w:pPr>
            <w:r>
              <w:rPr>
                <w:sz w:val="15"/>
              </w:rPr>
              <w:t xml:space="preserve">C</w:t>
            </w:r>
          </w:p>
        </w:tc>
        <w:tc>
          <w:tcPr>
            <w:tcW w:type="dxa" w:w="2418"/>
          </w:tcPr>
          <w:p>
            <w:pPr>
              <w:pStyle w:val="Compact"/>
              <w:jc w:val="left"/>
            </w:pPr>
            <w:r>
              <w:rPr>
                <w:sz w:val="15"/>
              </w:rPr>
              <w:t xml:space="preserve">None: Weak; descriptive; three points</w:t>
            </w:r>
          </w:p>
        </w:tc>
        <w:tc>
          <w:tcPr>
            <w:tcW w:type="dxa" w:w="2763"/>
          </w:tcPr>
          <w:p>
            <w:pPr>
              <w:pStyle w:val="Compact"/>
              <w:jc w:val="left"/>
            </w:pPr>
            <w:r>
              <w:rPr>
                <w:sz w:val="15"/>
              </w:rPr>
              <w:t xml:space="preserve">Project-level data</w:t>
            </w:r>
          </w:p>
        </w:tc>
      </w:tr>
      <w:tr>
        <w:tc>
          <w:tcPr>
            <w:tcW w:type="dxa" w:w="748"/>
          </w:tcPr>
          <w:p>
            <w:pPr>
              <w:pStyle w:val="Compact"/>
              <w:jc w:val="left"/>
            </w:pPr>
            <w:r>
              <w:rPr>
                <w:sz w:val="15"/>
              </w:rPr>
              <w:t xml:space="preserve">E11</w:t>
            </w:r>
          </w:p>
        </w:tc>
        <w:tc>
          <w:tcPr>
            <w:tcW w:type="dxa" w:w="2878"/>
          </w:tcPr>
          <w:p>
            <w:pPr>
              <w:pStyle w:val="Compact"/>
              <w:jc w:val="left"/>
            </w:pPr>
            <w:r>
              <w:rPr>
                <w:sz w:val="15"/>
              </w:rPr>
              <w:t xml:space="preserve">Low-capital cloud routes screened by fixed compliance costs: Thai cloud services (certification, two certified data centres) and the Malaysian Digital track (annual audit)</w:t>
            </w:r>
          </w:p>
        </w:tc>
        <w:tc>
          <w:tcPr>
            <w:tcW w:type="dxa" w:w="2015"/>
          </w:tcPr>
          <w:p>
            <w:pPr>
              <w:pStyle w:val="Compact"/>
              <w:jc w:val="left"/>
            </w:pPr>
            <w:r>
              <w:rPr>
                <w:sz w:val="15"/>
              </w:rPr>
              <w:t xml:space="preserve">U (P1d)</w:t>
            </w:r>
          </w:p>
        </w:tc>
        <w:tc>
          <w:tcPr>
            <w:tcW w:type="dxa" w:w="2015"/>
          </w:tcPr>
          <w:p>
            <w:pPr>
              <w:pStyle w:val="Compact"/>
              <w:jc w:val="left"/>
            </w:pPr>
            <w:r>
              <w:rPr>
                <w:sz w:val="15"/>
              </w:rPr>
              <w:t xml:space="preserve">E (P2b)</w:t>
            </w:r>
          </w:p>
        </w:tc>
        <w:tc>
          <w:tcPr>
            <w:tcW w:type="dxa" w:w="2187"/>
          </w:tcPr>
          <w:p>
            <w:pPr>
              <w:pStyle w:val="Compact"/>
              <w:jc w:val="left"/>
            </w:pPr>
            <w:r>
              <w:rPr>
                <w:sz w:val="15"/>
              </w:rPr>
              <w:t xml:space="preserve">C</w:t>
            </w:r>
          </w:p>
        </w:tc>
        <w:tc>
          <w:tcPr>
            <w:tcW w:type="dxa" w:w="2418"/>
          </w:tcPr>
          <w:p>
            <w:pPr>
              <w:pStyle w:val="Compact"/>
              <w:jc w:val="left"/>
            </w:pPr>
            <w:r>
              <w:rPr>
                <w:sz w:val="15"/>
              </w:rPr>
              <w:t xml:space="preserve">H1 against H2: Moderate; verified against the guides, cost size unmeasured</w:t>
            </w:r>
          </w:p>
        </w:tc>
        <w:tc>
          <w:tcPr>
            <w:tcW w:type="dxa" w:w="2763"/>
          </w:tcPr>
          <w:p>
            <w:pPr>
              <w:pStyle w:val="Compact"/>
              <w:jc w:val="left"/>
            </w:pPr>
            <w:r>
              <w:rPr>
                <w:sz w:val="15"/>
              </w:rPr>
              <w:t xml:space="preserve">Cost of certification and audit relative to a small provider’s capital</w:t>
            </w:r>
          </w:p>
        </w:tc>
      </w:tr>
      <w:tr>
        <w:tc>
          <w:tcPr>
            <w:tcW w:type="dxa" w:w="748"/>
          </w:tcPr>
          <w:p>
            <w:pPr>
              <w:pStyle w:val="Compact"/>
              <w:jc w:val="left"/>
            </w:pPr>
            <w:r>
              <w:rPr>
                <w:sz w:val="15"/>
              </w:rPr>
              <w:t xml:space="preserve">E12</w:t>
            </w:r>
          </w:p>
        </w:tc>
        <w:tc>
          <w:tcPr>
            <w:tcW w:type="dxa" w:w="2878"/>
          </w:tcPr>
          <w:p>
            <w:pPr>
              <w:pStyle w:val="Compact"/>
              <w:jc w:val="left"/>
            </w:pPr>
            <w:r>
              <w:rPr>
                <w:sz w:val="15"/>
              </w:rPr>
              <w:t xml:space="preserve">Required research ratio falls as total capital rises (VND 100 billion and 6,000 billion tiers) in high-technology enterprise criteria (Vietnam; verified)</w:t>
            </w:r>
          </w:p>
        </w:tc>
        <w:tc>
          <w:tcPr>
            <w:tcW w:type="dxa" w:w="2015"/>
          </w:tcPr>
          <w:p>
            <w:pPr>
              <w:pStyle w:val="Compact"/>
              <w:jc w:val="left"/>
            </w:pPr>
            <w:r>
              <w:rPr>
                <w:sz w:val="15"/>
              </w:rPr>
              <w:t xml:space="preserve">U (P1d)</w:t>
            </w:r>
          </w:p>
        </w:tc>
        <w:tc>
          <w:tcPr>
            <w:tcW w:type="dxa" w:w="2015"/>
          </w:tcPr>
          <w:p>
            <w:pPr>
              <w:pStyle w:val="Compact"/>
              <w:jc w:val="left"/>
            </w:pPr>
            <w:r>
              <w:rPr>
                <w:sz w:val="15"/>
              </w:rPr>
              <w:t xml:space="preserve">E (P2b)</w:t>
            </w:r>
          </w:p>
        </w:tc>
        <w:tc>
          <w:tcPr>
            <w:tcW w:type="dxa" w:w="2187"/>
          </w:tcPr>
          <w:p>
            <w:pPr>
              <w:pStyle w:val="Compact"/>
              <w:jc w:val="left"/>
            </w:pPr>
            <w:r>
              <w:rPr>
                <w:sz w:val="15"/>
              </w:rPr>
              <w:t xml:space="preserve">C</w:t>
            </w:r>
          </w:p>
        </w:tc>
        <w:tc>
          <w:tcPr>
            <w:tcW w:type="dxa" w:w="2418"/>
          </w:tcPr>
          <w:p>
            <w:pPr>
              <w:pStyle w:val="Compact"/>
              <w:jc w:val="left"/>
            </w:pPr>
            <w:r>
              <w:rPr>
                <w:sz w:val="15"/>
              </w:rPr>
              <w:t xml:space="preserve">H1 against H2: Moderate; applies to enterprise recognition, not to compute provision</w:t>
            </w:r>
          </w:p>
        </w:tc>
        <w:tc>
          <w:tcPr>
            <w:tcW w:type="dxa" w:w="2763"/>
          </w:tcPr>
          <w:p>
            <w:pPr>
              <w:pStyle w:val="Compact"/>
              <w:jc w:val="left"/>
            </w:pPr>
            <w:r>
              <w:rPr>
                <w:sz w:val="15"/>
              </w:rPr>
              <w:t xml:space="preserve">Whether the criteria apply to compute providers</w:t>
            </w:r>
          </w:p>
        </w:tc>
      </w:tr>
    </w:tbl>
    <w:p>
      <w:pPr>
        <w:pStyle w:val="BodyText"/>
      </w:pPr>
      <w:r>
        <w:rPr>
          <w:iCs/>
          <w:i/>
        </w:rPr>
        <w:t xml:space="preserve">Note.</w:t>
      </w:r>
      <w:r>
        <w:t xml:space="preserve"> </w:t>
      </w:r>
      <w:r>
        <w:t xml:space="preserve">E = expected; C = compatible; U = unexpected; X = contradicted. Ratings follow the predictions P1a to P3c of Section 2.4 and the rubric of Section 3.3 of the manuscript. Rows resting on unverified coding are provisional.</w:t>
      </w:r>
    </w:p>
    <w:bookmarkEnd w:id="28"/>
    <w:bookmarkStart w:id="29" w:name="X85004c227c6a131437c0397ef19b5831bb8be07"/>
    <w:p>
      <w:pPr>
        <w:pStyle w:val="Heading2"/>
      </w:pPr>
      <w:r>
        <w:t xml:space="preserve">Table S4. Illustrative eligibility ladder calibrated to cost benchmarks</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715"/>
        <w:gridCol w:w="2861"/>
        <w:gridCol w:w="3577"/>
        <w:gridCol w:w="4292"/>
        <w:gridCol w:w="3577"/>
      </w:tblGrid>
      <w:tr>
        <w:trPr>
          <w:tblHeader w:val="true"/>
        </w:trPr>
        <w:tc>
          <w:tcPr>
            <w:tcW w:type="dxa" w:w="715"/>
          </w:tcPr>
          <w:p>
            <w:pPr>
              <w:pStyle w:val="Compact"/>
              <w:jc w:val="left"/>
            </w:pPr>
            <w:r>
              <w:rPr>
                <w:b/>
                <w:sz w:val="15"/>
              </w:rPr>
              <w:t xml:space="preserve">Rung</w:t>
            </w:r>
          </w:p>
        </w:tc>
        <w:tc>
          <w:tcPr>
            <w:tcW w:type="dxa" w:w="2862"/>
          </w:tcPr>
          <w:p>
            <w:pPr>
              <w:pStyle w:val="Compact"/>
              <w:jc w:val="left"/>
            </w:pPr>
            <w:r>
              <w:rPr>
                <w:b/>
                <w:sz w:val="15"/>
              </w:rPr>
              <w:t xml:space="preserve">Capacity</w:t>
            </w:r>
          </w:p>
        </w:tc>
        <w:tc>
          <w:tcPr>
            <w:tcW w:type="dxa" w:w="3577"/>
          </w:tcPr>
          <w:p>
            <w:pPr>
              <w:pStyle w:val="Compact"/>
              <w:jc w:val="left"/>
            </w:pPr>
            <w:r>
              <w:rPr>
                <w:b/>
                <w:sz w:val="15"/>
              </w:rPr>
              <w:t xml:space="preserve">Capital to host: construction only to fully equipped (US$ million)</w:t>
            </w:r>
          </w:p>
        </w:tc>
        <w:tc>
          <w:tcPr>
            <w:tcW w:type="dxa" w:w="4292"/>
          </w:tcPr>
          <w:p>
            <w:pPr>
              <w:pStyle w:val="Compact"/>
              <w:jc w:val="left"/>
            </w:pPr>
            <w:r>
              <w:rPr>
                <w:b/>
                <w:sz w:val="15"/>
              </w:rPr>
              <w:t xml:space="preserve">Instrument type that may suit the rung</w:t>
            </w:r>
          </w:p>
        </w:tc>
        <w:tc>
          <w:tcPr>
            <w:tcW w:type="dxa" w:w="3577"/>
          </w:tcPr>
          <w:p>
            <w:pPr>
              <w:pStyle w:val="Compact"/>
              <w:jc w:val="left"/>
            </w:pPr>
            <w:r>
              <w:rPr>
                <w:b/>
                <w:sz w:val="15"/>
              </w:rPr>
              <w:t xml:space="preserve">Reason</w:t>
            </w:r>
          </w:p>
        </w:tc>
      </w:tr>
      <w:tr>
        <w:tc>
          <w:tcPr>
            <w:tcW w:type="dxa" w:w="715"/>
          </w:tcPr>
          <w:p>
            <w:pPr>
              <w:pStyle w:val="Compact"/>
              <w:jc w:val="left"/>
            </w:pPr>
            <w:r>
              <w:rPr>
                <w:sz w:val="15"/>
              </w:rPr>
              <w:t xml:space="preserve">0</w:t>
            </w:r>
          </w:p>
        </w:tc>
        <w:tc>
          <w:tcPr>
            <w:tcW w:type="dxa" w:w="2862"/>
          </w:tcPr>
          <w:p>
            <w:pPr>
              <w:pStyle w:val="Compact"/>
              <w:jc w:val="left"/>
            </w:pPr>
            <w:r>
              <w:rPr>
                <w:sz w:val="15"/>
              </w:rPr>
              <w:t xml:space="preserve">One eight-accelerator server (12 kW)</w:t>
            </w:r>
          </w:p>
        </w:tc>
        <w:tc>
          <w:tcPr>
            <w:tcW w:type="dxa" w:w="3577"/>
          </w:tcPr>
          <w:p>
            <w:pPr>
              <w:pStyle w:val="Compact"/>
              <w:jc w:val="left"/>
            </w:pPr>
            <w:r>
              <w:rPr>
                <w:sz w:val="15"/>
              </w:rPr>
              <w:t xml:space="preserve">0.13 to 0.46</w:t>
            </w:r>
          </w:p>
        </w:tc>
        <w:tc>
          <w:tcPr>
            <w:tcW w:type="dxa" w:w="4292"/>
          </w:tcPr>
          <w:p>
            <w:pPr>
              <w:pStyle w:val="Compact"/>
              <w:jc w:val="left"/>
            </w:pPr>
            <w:r>
              <w:rPr>
                <w:sz w:val="15"/>
              </w:rPr>
              <w:t xml:space="preserve">Direct: compute vouchers for users, matching grants for small providers</w:t>
            </w:r>
          </w:p>
        </w:tc>
        <w:tc>
          <w:tcPr>
            <w:tcW w:type="dxa" w:w="3577"/>
          </w:tcPr>
          <w:p>
            <w:pPr>
              <w:pStyle w:val="Compact"/>
              <w:jc w:val="left"/>
            </w:pPr>
            <w:r>
              <w:rPr>
                <w:sz w:val="15"/>
              </w:rPr>
              <w:t xml:space="preserve">Tax relief presupposes taxable profit, which a new provider lacks</w:t>
            </w:r>
          </w:p>
        </w:tc>
      </w:tr>
      <w:tr>
        <w:tc>
          <w:tcPr>
            <w:tcW w:type="dxa" w:w="715"/>
          </w:tcPr>
          <w:p>
            <w:pPr>
              <w:pStyle w:val="Compact"/>
              <w:jc w:val="left"/>
            </w:pPr>
            <w:r>
              <w:rPr>
                <w:sz w:val="15"/>
              </w:rPr>
              <w:t xml:space="preserve">1</w:t>
            </w:r>
          </w:p>
        </w:tc>
        <w:tc>
          <w:tcPr>
            <w:tcW w:type="dxa" w:w="2862"/>
          </w:tcPr>
          <w:p>
            <w:pPr>
              <w:pStyle w:val="Compact"/>
              <w:jc w:val="left"/>
            </w:pPr>
            <w:r>
              <w:rPr>
                <w:sz w:val="15"/>
              </w:rPr>
              <w:t xml:space="preserve">100 kW (about eight servers)</w:t>
            </w:r>
          </w:p>
        </w:tc>
        <w:tc>
          <w:tcPr>
            <w:tcW w:type="dxa" w:w="3577"/>
          </w:tcPr>
          <w:p>
            <w:pPr>
              <w:pStyle w:val="Compact"/>
              <w:jc w:val="left"/>
            </w:pPr>
            <w:r>
              <w:rPr>
                <w:sz w:val="15"/>
              </w:rPr>
              <w:t xml:space="preserve">1.1 to 3.8</w:t>
            </w:r>
          </w:p>
        </w:tc>
        <w:tc>
          <w:tcPr>
            <w:tcW w:type="dxa" w:w="4292"/>
          </w:tcPr>
          <w:p>
            <w:pPr>
              <w:pStyle w:val="Compact"/>
              <w:jc w:val="left"/>
            </w:pPr>
            <w:r>
              <w:rPr>
                <w:sz w:val="15"/>
              </w:rPr>
              <w:t xml:space="preserve">Direct or refundable credit; simple eligibility test</w:t>
            </w:r>
          </w:p>
        </w:tc>
        <w:tc>
          <w:tcPr>
            <w:tcW w:type="dxa" w:w="3577"/>
          </w:tcPr>
          <w:p>
            <w:pPr>
              <w:pStyle w:val="Compact"/>
              <w:jc w:val="left"/>
            </w:pPr>
            <w:r>
              <w:rPr>
                <w:sz w:val="15"/>
              </w:rPr>
              <w:t xml:space="preserve">Allows many small trials before any scale up (Hausmann and Rodrik, 2003)</w:t>
            </w:r>
          </w:p>
        </w:tc>
      </w:tr>
      <w:tr>
        <w:tc>
          <w:tcPr>
            <w:tcW w:type="dxa" w:w="715"/>
          </w:tcPr>
          <w:p>
            <w:pPr>
              <w:pStyle w:val="Compact"/>
              <w:jc w:val="left"/>
            </w:pPr>
            <w:r>
              <w:rPr>
                <w:sz w:val="15"/>
              </w:rPr>
              <w:t xml:space="preserve">2</w:t>
            </w:r>
          </w:p>
        </w:tc>
        <w:tc>
          <w:tcPr>
            <w:tcW w:type="dxa" w:w="2862"/>
          </w:tcPr>
          <w:p>
            <w:pPr>
              <w:pStyle w:val="Compact"/>
              <w:jc w:val="left"/>
            </w:pPr>
            <w:r>
              <w:rPr>
                <w:sz w:val="15"/>
              </w:rPr>
              <w:t xml:space="preserve">1 MW</w:t>
            </w:r>
          </w:p>
        </w:tc>
        <w:tc>
          <w:tcPr>
            <w:tcW w:type="dxa" w:w="3577"/>
          </w:tcPr>
          <w:p>
            <w:pPr>
              <w:pStyle w:val="Compact"/>
              <w:jc w:val="left"/>
            </w:pPr>
            <w:r>
              <w:rPr>
                <w:sz w:val="15"/>
              </w:rPr>
              <w:t xml:space="preserve">10.7 to 38</w:t>
            </w:r>
          </w:p>
        </w:tc>
        <w:tc>
          <w:tcPr>
            <w:tcW w:type="dxa" w:w="4292"/>
          </w:tcPr>
          <w:p>
            <w:pPr>
              <w:pStyle w:val="Compact"/>
              <w:jc w:val="left"/>
            </w:pPr>
            <w:r>
              <w:rPr>
                <w:sz w:val="15"/>
              </w:rPr>
              <w:t xml:space="preserve">Milestone-based tax incentive with compliance proportional to size</w:t>
            </w:r>
          </w:p>
        </w:tc>
        <w:tc>
          <w:tcPr>
            <w:tcW w:type="dxa" w:w="3577"/>
          </w:tcPr>
          <w:p>
            <w:pPr>
              <w:pStyle w:val="Compact"/>
              <w:jc w:val="left"/>
            </w:pPr>
            <w:r>
              <w:rPr>
                <w:sz w:val="15"/>
              </w:rPr>
              <w:t xml:space="preserve">Avoids the fixed audit cost that weighs on the smallest firms (Section 4.3)</w:t>
            </w:r>
          </w:p>
        </w:tc>
      </w:tr>
      <w:tr>
        <w:tc>
          <w:tcPr>
            <w:tcW w:type="dxa" w:w="715"/>
          </w:tcPr>
          <w:p>
            <w:pPr>
              <w:pStyle w:val="Compact"/>
              <w:jc w:val="left"/>
            </w:pPr>
            <w:r>
              <w:rPr>
                <w:sz w:val="15"/>
              </w:rPr>
              <w:t xml:space="preserve">3</w:t>
            </w:r>
          </w:p>
        </w:tc>
        <w:tc>
          <w:tcPr>
            <w:tcW w:type="dxa" w:w="2862"/>
          </w:tcPr>
          <w:p>
            <w:pPr>
              <w:pStyle w:val="Compact"/>
              <w:jc w:val="left"/>
            </w:pPr>
            <w:r>
              <w:rPr>
                <w:sz w:val="15"/>
              </w:rPr>
              <w:t xml:space="preserve">10 MW</w:t>
            </w:r>
          </w:p>
        </w:tc>
        <w:tc>
          <w:tcPr>
            <w:tcW w:type="dxa" w:w="3577"/>
          </w:tcPr>
          <w:p>
            <w:pPr>
              <w:pStyle w:val="Compact"/>
              <w:jc w:val="left"/>
            </w:pPr>
            <w:r>
              <w:rPr>
                <w:sz w:val="15"/>
              </w:rPr>
              <w:t xml:space="preserve">107 to 380</w:t>
            </w:r>
          </w:p>
        </w:tc>
        <w:tc>
          <w:tcPr>
            <w:tcW w:type="dxa" w:w="4292"/>
          </w:tcPr>
          <w:p>
            <w:pPr>
              <w:pStyle w:val="Compact"/>
              <w:jc w:val="left"/>
            </w:pPr>
            <w:r>
              <w:rPr>
                <w:sz w:val="15"/>
              </w:rPr>
              <w:t xml:space="preserve">Existing facility-scale tax incentive</w:t>
            </w:r>
          </w:p>
        </w:tc>
        <w:tc>
          <w:tcPr>
            <w:tcW w:type="dxa" w:w="3577"/>
          </w:tcPr>
          <w:p>
            <w:pPr>
              <w:pStyle w:val="Compact"/>
              <w:jc w:val="left"/>
            </w:pPr>
            <w:r>
              <w:rPr>
                <w:sz w:val="15"/>
              </w:rPr>
              <w:t xml:space="preserve">Comparable to Thailand’s threshold (about 13 MW on construction cost)</w:t>
            </w:r>
          </w:p>
        </w:tc>
      </w:tr>
      <w:tr>
        <w:tc>
          <w:tcPr>
            <w:tcW w:type="dxa" w:w="715"/>
          </w:tcPr>
          <w:p>
            <w:pPr>
              <w:pStyle w:val="Compact"/>
              <w:jc w:val="left"/>
            </w:pPr>
            <w:r>
              <w:rPr>
                <w:sz w:val="15"/>
              </w:rPr>
              <w:t xml:space="preserve">4</w:t>
            </w:r>
          </w:p>
        </w:tc>
        <w:tc>
          <w:tcPr>
            <w:tcW w:type="dxa" w:w="2862"/>
          </w:tcPr>
          <w:p>
            <w:pPr>
              <w:pStyle w:val="Compact"/>
              <w:jc w:val="left"/>
            </w:pPr>
            <w:r>
              <w:rPr>
                <w:sz w:val="15"/>
              </w:rPr>
              <w:t xml:space="preserve">40 MW</w:t>
            </w:r>
          </w:p>
        </w:tc>
        <w:tc>
          <w:tcPr>
            <w:tcW w:type="dxa" w:w="3577"/>
          </w:tcPr>
          <w:p>
            <w:pPr>
              <w:pStyle w:val="Compact"/>
              <w:jc w:val="left"/>
            </w:pPr>
            <w:r>
              <w:rPr>
                <w:sz w:val="15"/>
              </w:rPr>
              <w:t xml:space="preserve">428 to 1,520</w:t>
            </w:r>
          </w:p>
        </w:tc>
        <w:tc>
          <w:tcPr>
            <w:tcW w:type="dxa" w:w="4292"/>
          </w:tcPr>
          <w:p>
            <w:pPr>
              <w:pStyle w:val="Compact"/>
              <w:jc w:val="left"/>
            </w:pPr>
            <w:r>
              <w:rPr>
                <w:sz w:val="15"/>
              </w:rPr>
              <w:t xml:space="preserve">Existing facility-scale incentive and negotiated packages</w:t>
            </w:r>
          </w:p>
        </w:tc>
        <w:tc>
          <w:tcPr>
            <w:tcW w:type="dxa" w:w="3577"/>
          </w:tcPr>
          <w:p>
            <w:pPr>
              <w:pStyle w:val="Compact"/>
              <w:jc w:val="left"/>
            </w:pPr>
            <w:r>
              <w:rPr>
                <w:sz w:val="15"/>
              </w:rPr>
              <w:t xml:space="preserve">Already served by current designs</w:t>
            </w:r>
          </w:p>
        </w:tc>
      </w:tr>
    </w:tbl>
    <w:p>
      <w:pPr>
        <w:pStyle w:val="BodyText"/>
      </w:pPr>
      <w:r>
        <w:rPr>
          <w:iCs/>
          <w:i/>
        </w:rPr>
        <w:t xml:space="preserve">Note.</w:t>
      </w:r>
      <w:r>
        <w:t xml:space="preserve"> </w:t>
      </w:r>
      <w:r>
        <w:t xml:space="preserve">Construction cost of US$10.7m per MW (Turner and Townsend, 2025); fully equipped AI capacity of US$38m per MW (Epoch AI, 2026); 12 kW per server, a planning figure above the 10.2 kW maximum NVIDIA lists for its DGX H100. Figures are products of these benchmarks, not estimates of this paper.</w:t>
      </w:r>
    </w:p>
    <w:bookmarkEnd w:id="29"/>
    <w:bookmarkStart w:id="30" w:name="Xa2c17921f4af7568b56f239dacda6dc895cf9dc"/>
    <w:p>
      <w:pPr>
        <w:pStyle w:val="Heading2"/>
      </w:pPr>
      <w:r>
        <w:t xml:space="preserve">Table S5. Viability benchmark for a small provider of AI compute (assumption A1)</w:t>
      </w:r>
    </w:p>
    <w:p>
      <w:pPr>
        <w:pStyle w:val="FirstParagraph"/>
      </w:pPr>
      <w:r>
        <w:t xml:space="preserve">The benchmark asks what scale of provision is commercially viable, so that the distance to an instrument’s threshold can be measured from it. It is a transparent model with stated inputs, not a forecast. The script is in the replication files (</w:t>
      </w:r>
      <w:r>
        <w:rPr>
          <w:rStyle w:val="VerbatimChar"/>
        </w:rPr>
        <w:t xml:space="preserve">08a_viability_model.py</w:t>
      </w:r>
      <w:r>
        <w:t xml:space="preserve">). All market inputs come from vendor blogs, reseller listings and trade guides, which are indicative, and prices moved sharply in 2026.</w:t>
      </w:r>
    </w:p>
    <w:p>
      <w:pPr>
        <w:pStyle w:val="BodyText"/>
      </w:pPr>
      <w:r>
        <w:rPr>
          <w:bCs/>
          <w:b/>
        </w:rPr>
        <w:t xml:space="preserve">Inputs.</w:t>
      </w:r>
      <w:r>
        <w:t xml:space="preserve"> </w:t>
      </w:r>
      <w:r>
        <w:t xml:space="preserve">One eight-GPU H100 server of 12 kW (above the 10.2 kW maximum that NVIDIA lists for its DGX H100) is the unit. Server capital is US$250,000 to US$320,000 (reseller listings, September 2026). Realised price runs from US$1.70 to US$3.85 per GPU-hour: the low end is the 1-year contract index of October 2025 and the high end the on-demand list price of neoclouds, with US$2.35 (the March 2026 contract index) and US$3.00 between (Spendark, 2026). Colocation is US$200 to US$475 per kW a month (Singapore guides give US$310 to US$475; North American wholesale is about US$196), with metered power at US$0.11 per kWh, the Thai average tariff of THB 3.95 per kWh for September to December 2026 (Thai Energy Regulatory Commission, through press reports). Capital is charged as an annuity at 10 per cent over three to five years with no residual value, and 10 per cent of revenue goes to payment, support and bandwidth costs. A scale provider is given wholesale colocation at US$150 per kW, a hardware price of US$250,000 and a cost of capital of 8 per cent. The overhead of running a provider (certification, audit, staff, monitoring) is not observed, so it is varied from US$50,000 to US$300,000 a year.</w:t>
      </w:r>
    </w:p>
    <w:p>
      <w:pPr>
        <w:pStyle w:val="BodyText"/>
      </w:pPr>
      <w:r>
        <w:rPr>
          <w:bCs/>
          <w:b/>
        </w:rPr>
        <w:t xml:space="preserve">Break-even utilisation</w:t>
      </w:r>
      <w:r>
        <w:t xml:space="preserve"> </w:t>
      </w:r>
      <w:r>
        <w:t xml:space="preserve">(share of hours sold; above 1.00 means no break-even):</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715"/>
        <w:gridCol w:w="2861"/>
        <w:gridCol w:w="3577"/>
        <w:gridCol w:w="4292"/>
        <w:gridCol w:w="3577"/>
      </w:tblGrid>
      <w:tr>
        <w:trPr>
          <w:tblHeader w:val="true"/>
        </w:trPr>
        <w:tc>
          <w:tcPr>
            <w:tcW w:type="dxa" w:w="715"/>
          </w:tcPr>
          <w:p>
            <w:pPr>
              <w:pStyle w:val="Compact"/>
              <w:jc w:val="left"/>
            </w:pPr>
            <w:r>
              <w:rPr>
                <w:b/>
                <w:sz w:val="15"/>
              </w:rPr>
              <w:t xml:space="preserve">Case</w:t>
            </w:r>
          </w:p>
        </w:tc>
        <w:tc>
          <w:tcPr>
            <w:tcW w:type="dxa" w:w="2862"/>
          </w:tcPr>
          <w:p>
            <w:pPr>
              <w:pStyle w:val="Compact"/>
              <w:jc w:val="left"/>
            </w:pPr>
            <w:r>
              <w:rPr>
                <w:b/>
                <w:sz w:val="15"/>
              </w:rPr>
              <w:t xml:space="preserve">US$1.70</w:t>
            </w:r>
          </w:p>
        </w:tc>
        <w:tc>
          <w:tcPr>
            <w:tcW w:type="dxa" w:w="3577"/>
          </w:tcPr>
          <w:p>
            <w:pPr>
              <w:pStyle w:val="Compact"/>
              <w:jc w:val="left"/>
            </w:pPr>
            <w:r>
              <w:rPr>
                <w:b/>
                <w:sz w:val="15"/>
              </w:rPr>
              <w:t xml:space="preserve">US$2.35</w:t>
            </w:r>
          </w:p>
        </w:tc>
        <w:tc>
          <w:tcPr>
            <w:tcW w:type="dxa" w:w="4292"/>
          </w:tcPr>
          <w:p>
            <w:pPr>
              <w:pStyle w:val="Compact"/>
              <w:jc w:val="left"/>
            </w:pPr>
            <w:r>
              <w:rPr>
                <w:b/>
                <w:sz w:val="15"/>
              </w:rPr>
              <w:t xml:space="preserve">US$3.00</w:t>
            </w:r>
          </w:p>
        </w:tc>
        <w:tc>
          <w:tcPr>
            <w:tcW w:type="dxa" w:w="3577"/>
          </w:tcPr>
          <w:p>
            <w:pPr>
              <w:pStyle w:val="Compact"/>
              <w:jc w:val="left"/>
            </w:pPr>
            <w:r>
              <w:rPr>
                <w:b/>
                <w:sz w:val="15"/>
              </w:rPr>
              <w:t xml:space="preserve">US$3.85</w:t>
            </w:r>
          </w:p>
        </w:tc>
      </w:tr>
      <w:tr>
        <w:tc>
          <w:tcPr>
            <w:tcW w:type="dxa" w:w="715"/>
          </w:tcPr>
          <w:p>
            <w:pPr>
              <w:pStyle w:val="Compact"/>
              <w:jc w:val="left"/>
            </w:pPr>
            <w:r>
              <w:rPr>
                <w:sz w:val="15"/>
              </w:rPr>
              <w:t xml:space="preserve">Small provider, favourable inputs</w:t>
            </w:r>
          </w:p>
        </w:tc>
        <w:tc>
          <w:tcPr>
            <w:tcW w:type="dxa" w:w="2862"/>
          </w:tcPr>
          <w:p>
            <w:pPr>
              <w:pStyle w:val="Compact"/>
              <w:jc w:val="left"/>
            </w:pPr>
            <w:r>
              <w:rPr>
                <w:sz w:val="15"/>
              </w:rPr>
              <w:t xml:space="preserve">0.96</w:t>
            </w:r>
          </w:p>
        </w:tc>
        <w:tc>
          <w:tcPr>
            <w:tcW w:type="dxa" w:w="3577"/>
          </w:tcPr>
          <w:p>
            <w:pPr>
              <w:pStyle w:val="Compact"/>
              <w:jc w:val="left"/>
            </w:pPr>
            <w:r>
              <w:rPr>
                <w:sz w:val="15"/>
              </w:rPr>
              <w:t xml:space="preserve">0.69</w:t>
            </w:r>
          </w:p>
        </w:tc>
        <w:tc>
          <w:tcPr>
            <w:tcW w:type="dxa" w:w="4292"/>
          </w:tcPr>
          <w:p>
            <w:pPr>
              <w:pStyle w:val="Compact"/>
              <w:jc w:val="left"/>
            </w:pPr>
            <w:r>
              <w:rPr>
                <w:sz w:val="15"/>
              </w:rPr>
              <w:t xml:space="preserve">0.54</w:t>
            </w:r>
          </w:p>
        </w:tc>
        <w:tc>
          <w:tcPr>
            <w:tcW w:type="dxa" w:w="3577"/>
          </w:tcPr>
          <w:p>
            <w:pPr>
              <w:pStyle w:val="Compact"/>
              <w:jc w:val="left"/>
            </w:pPr>
            <w:r>
              <w:rPr>
                <w:sz w:val="15"/>
              </w:rPr>
              <w:t xml:space="preserve">0.42</w:t>
            </w:r>
          </w:p>
        </w:tc>
      </w:tr>
      <w:tr>
        <w:tc>
          <w:tcPr>
            <w:tcW w:type="dxa" w:w="715"/>
          </w:tcPr>
          <w:p>
            <w:pPr>
              <w:pStyle w:val="Compact"/>
              <w:jc w:val="left"/>
            </w:pPr>
            <w:r>
              <w:rPr>
                <w:sz w:val="15"/>
              </w:rPr>
              <w:t xml:space="preserve">Small provider, central inputs</w:t>
            </w:r>
          </w:p>
        </w:tc>
        <w:tc>
          <w:tcPr>
            <w:tcW w:type="dxa" w:w="2862"/>
          </w:tcPr>
          <w:p>
            <w:pPr>
              <w:pStyle w:val="Compact"/>
              <w:jc w:val="left"/>
            </w:pPr>
            <w:r>
              <w:rPr>
                <w:sz w:val="15"/>
              </w:rPr>
              <w:t xml:space="preserve">1.40</w:t>
            </w:r>
          </w:p>
        </w:tc>
        <w:tc>
          <w:tcPr>
            <w:tcW w:type="dxa" w:w="3577"/>
          </w:tcPr>
          <w:p>
            <w:pPr>
              <w:pStyle w:val="Compact"/>
              <w:jc w:val="left"/>
            </w:pPr>
            <w:r>
              <w:rPr>
                <w:sz w:val="15"/>
              </w:rPr>
              <w:t xml:space="preserve">1.01</w:t>
            </w:r>
          </w:p>
        </w:tc>
        <w:tc>
          <w:tcPr>
            <w:tcW w:type="dxa" w:w="4292"/>
          </w:tcPr>
          <w:p>
            <w:pPr>
              <w:pStyle w:val="Compact"/>
              <w:jc w:val="left"/>
            </w:pPr>
            <w:r>
              <w:rPr>
                <w:sz w:val="15"/>
              </w:rPr>
              <w:t xml:space="preserve">0.79</w:t>
            </w:r>
          </w:p>
        </w:tc>
        <w:tc>
          <w:tcPr>
            <w:tcW w:type="dxa" w:w="3577"/>
          </w:tcPr>
          <w:p>
            <w:pPr>
              <w:pStyle w:val="Compact"/>
              <w:jc w:val="left"/>
            </w:pPr>
            <w:r>
              <w:rPr>
                <w:sz w:val="15"/>
              </w:rPr>
              <w:t xml:space="preserve">0.62</w:t>
            </w:r>
          </w:p>
        </w:tc>
      </w:tr>
      <w:tr>
        <w:tc>
          <w:tcPr>
            <w:tcW w:type="dxa" w:w="715"/>
          </w:tcPr>
          <w:p>
            <w:pPr>
              <w:pStyle w:val="Compact"/>
              <w:jc w:val="left"/>
            </w:pPr>
            <w:r>
              <w:rPr>
                <w:sz w:val="15"/>
              </w:rPr>
              <w:t xml:space="preserve">Small provider, adverse inputs</w:t>
            </w:r>
          </w:p>
        </w:tc>
        <w:tc>
          <w:tcPr>
            <w:tcW w:type="dxa" w:w="2862"/>
          </w:tcPr>
          <w:p>
            <w:pPr>
              <w:pStyle w:val="Compact"/>
              <w:jc w:val="left"/>
            </w:pPr>
            <w:r>
              <w:rPr>
                <w:sz w:val="15"/>
              </w:rPr>
              <w:t xml:space="preserve">1.91</w:t>
            </w:r>
          </w:p>
        </w:tc>
        <w:tc>
          <w:tcPr>
            <w:tcW w:type="dxa" w:w="3577"/>
          </w:tcPr>
          <w:p>
            <w:pPr>
              <w:pStyle w:val="Compact"/>
              <w:jc w:val="left"/>
            </w:pPr>
            <w:r>
              <w:rPr>
                <w:sz w:val="15"/>
              </w:rPr>
              <w:t xml:space="preserve">1.38</w:t>
            </w:r>
          </w:p>
        </w:tc>
        <w:tc>
          <w:tcPr>
            <w:tcW w:type="dxa" w:w="4292"/>
          </w:tcPr>
          <w:p>
            <w:pPr>
              <w:pStyle w:val="Compact"/>
              <w:jc w:val="left"/>
            </w:pPr>
            <w:r>
              <w:rPr>
                <w:sz w:val="15"/>
              </w:rPr>
              <w:t xml:space="preserve">1.08</w:t>
            </w:r>
          </w:p>
        </w:tc>
        <w:tc>
          <w:tcPr>
            <w:tcW w:type="dxa" w:w="3577"/>
          </w:tcPr>
          <w:p>
            <w:pPr>
              <w:pStyle w:val="Compact"/>
              <w:jc w:val="left"/>
            </w:pPr>
            <w:r>
              <w:rPr>
                <w:sz w:val="15"/>
              </w:rPr>
              <w:t xml:space="preserve">0.84</w:t>
            </w:r>
          </w:p>
        </w:tc>
      </w:tr>
      <w:tr>
        <w:tc>
          <w:tcPr>
            <w:tcW w:type="dxa" w:w="715"/>
          </w:tcPr>
          <w:p>
            <w:pPr>
              <w:pStyle w:val="Compact"/>
              <w:jc w:val="left"/>
            </w:pPr>
            <w:r>
              <w:rPr>
                <w:sz w:val="15"/>
              </w:rPr>
              <w:t xml:space="preserve">Scale provider</w:t>
            </w:r>
          </w:p>
        </w:tc>
        <w:tc>
          <w:tcPr>
            <w:tcW w:type="dxa" w:w="2862"/>
          </w:tcPr>
          <w:p>
            <w:pPr>
              <w:pStyle w:val="Compact"/>
              <w:jc w:val="left"/>
            </w:pPr>
            <w:r>
              <w:rPr>
                <w:sz w:val="15"/>
              </w:rPr>
              <w:t xml:space="preserve">0.98</w:t>
            </w:r>
          </w:p>
        </w:tc>
        <w:tc>
          <w:tcPr>
            <w:tcW w:type="dxa" w:w="3577"/>
          </w:tcPr>
          <w:p>
            <w:pPr>
              <w:pStyle w:val="Compact"/>
              <w:jc w:val="left"/>
            </w:pPr>
            <w:r>
              <w:rPr>
                <w:sz w:val="15"/>
              </w:rPr>
              <w:t xml:space="preserve">0.71</w:t>
            </w:r>
          </w:p>
        </w:tc>
        <w:tc>
          <w:tcPr>
            <w:tcW w:type="dxa" w:w="4292"/>
          </w:tcPr>
          <w:p>
            <w:pPr>
              <w:pStyle w:val="Compact"/>
              <w:jc w:val="left"/>
            </w:pPr>
            <w:r>
              <w:rPr>
                <w:sz w:val="15"/>
              </w:rPr>
              <w:t xml:space="preserve">0.56</w:t>
            </w:r>
          </w:p>
        </w:tc>
        <w:tc>
          <w:tcPr>
            <w:tcW w:type="dxa" w:w="3577"/>
          </w:tcPr>
          <w:p>
            <w:pPr>
              <w:pStyle w:val="Compact"/>
              <w:jc w:val="left"/>
            </w:pPr>
            <w:r>
              <w:rPr>
                <w:sz w:val="15"/>
              </w:rPr>
              <w:t xml:space="preserve">0.43</w:t>
            </w:r>
          </w:p>
        </w:tc>
      </w:tr>
    </w:tbl>
    <w:p>
      <w:pPr>
        <w:pStyle w:val="BodyText"/>
      </w:pPr>
      <w:r>
        <w:rPr>
          <w:bCs/>
          <w:b/>
        </w:rPr>
        <w:t xml:space="preserve">Minimum fleet</w:t>
      </w:r>
      <w:r>
        <w:t xml:space="preserve"> </w:t>
      </w:r>
      <w:r>
        <w:t xml:space="preserve">to cover the overhead, central inputs, 80 per cent utilisation: at US$3.00 per GPU-hour, 45 servers (US$13m) for an overhead of US$50,000, 134 servers (US$40m) for US$150,000 and 268 servers (US$80m) for US$300,000. At US$3.85, one to seven servers suffice. At US$2.35 or below, no fleet size covers the overhead.</w:t>
      </w:r>
    </w:p>
    <w:p>
      <w:pPr>
        <w:pStyle w:val="BodyText"/>
      </w:pPr>
      <w:r>
        <w:rPr>
          <w:bCs/>
          <w:b/>
        </w:rPr>
        <w:t xml:space="preserve">Reading.</w:t>
      </w:r>
      <w:r>
        <w:t xml:space="preserve"> </w:t>
      </w:r>
      <w:r>
        <w:t xml:space="preserve">First, a single server is not a viable provider. Second, viability turns on price. A small provider breaks even only if it can sell near or above US$3.00 per GPU-hour at about 80 per cent utilisation, and at contract-index prices it cannot break even at any size. Third, scale lowers the break-even utilisation by about 20 percentage points at the same price, through cheaper colocation, capital and hardware. Fourth, the viable scale lies between a few servers (US$0.3m to US$2m of capital at US$3.85) and tens to hundreds of servers (US$13m to US$80m at US$3.00), and does not exist at US$2.35 or below. Distances from US$13m to US$80m are given in Table 3 of the manuscript.</w:t>
      </w:r>
    </w:p>
    <w:p>
      <w:pPr>
        <w:pStyle w:val="BodyText"/>
      </w:pPr>
      <w:r>
        <w:rPr>
          <w:bCs/>
          <w:b/>
        </w:rPr>
        <w:t xml:space="preserve">Observed entrants.</w:t>
      </w:r>
      <w:r>
        <w:t xml:space="preserve"> </w:t>
      </w:r>
      <w:r>
        <w:t xml:space="preserve">Thailand’s BOI approved a THB 3.25 billion (about US$91m) cloud-services project for Siam AI Corporation, a Thai company and NVIDIA cloud partner, on 29 January 2025, classed as cloud services focusing on AI applications and not as data hosting (Board of Investment of Thailand, 2025). Press reports say its equipment is hosted in third-party colocation data centres (STT Bangkok 1). The only data-hosting project approved in 2025 was TikTok’s, at THB 126.8 billion. Vietnamese and regional GPU clouds also run on leased colocation space. We could not verify their scale or incentives.</w:t>
      </w:r>
    </w:p>
    <w:p>
      <w:pPr>
        <w:pStyle w:val="BodyText"/>
      </w:pPr>
      <w:r>
        <w:rPr>
          <w:iCs/>
          <w:i/>
        </w:rPr>
        <w:t xml:space="preserve">Sources.</w:t>
      </w:r>
      <w:r>
        <w:t xml:space="preserve"> </w:t>
      </w:r>
      <w:r>
        <w:t xml:space="preserve">Spendark (2026), cloud GPU price war, citing SemiAnalysis’s GPU index (https://spendark.com/blog/cloud-gpu-price-war-2026/). Reseller listings for 8-GPU H100 servers (https://gpuperhour.com/blog/nvidia-h100-price). Colocation guides (https://brightlio.com/colocation-pricing/; https://www.coradvisors.net/2026/08/colocation-pricing-per-rack-2026.html). Break-even and margin estimates (https://www.gpunex.com/blog/gpu-cluster-economics-2026). BOI news of 29 January 2025 (https://osos.boi.go.th/EN/news/2163).</w:t>
      </w:r>
    </w:p>
    <w:bookmarkEnd w:id="30"/>
    <w:bookmarkStart w:id="31" w:name="X2ab4b4bf65b5183cee91dab9297b3466d6e51cc"/>
    <w:p>
      <w:pPr>
        <w:pStyle w:val="Heading2"/>
      </w:pPr>
      <w:r>
        <w:t xml:space="preserve">Table S6. Second-coder check and disagreement log</w:t>
      </w:r>
    </w:p>
    <w:p>
      <w:pPr>
        <w:pStyle w:val="FirstParagraph"/>
      </w:pPr>
      <w:r>
        <w:t xml:space="preserve">A separate instance of a generative AI model coded all 29 instruments blind to the first coder’s codes. It received only the codebook above, the blank coding sheet and the primary texts, and its two halves (Thailand and Malaysia; Vietnam and the Philippines) were coded by different instances. It reported no sight of the first codes. The first coder then adjudicated each disagreement against the text. This is an AI second coder: it shares the first coder’s model family and so may share its blind spots, and it is not a substitute for an independent human check.</w:t>
      </w:r>
    </w:p>
    <w:p>
      <w:pPr>
        <w:pStyle w:val="BodyText"/>
      </w:pPr>
      <w:r>
        <w:rPr>
          <w:bCs/>
          <w:b/>
        </w:rPr>
        <w:t xml:space="preserve">Agreement before adjudication</w:t>
      </w:r>
      <w:r>
        <w:t xml:space="preserve"> </w:t>
      </w:r>
      <w:r>
        <w:t xml:space="preserve">(29 instruments):</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3755"/>
        <w:gridCol w:w="3755"/>
        <w:gridCol w:w="3755"/>
        <w:gridCol w:w="3755"/>
      </w:tblGrid>
      <w:tr>
        <w:trPr>
          <w:tblHeader w:val="true"/>
        </w:trPr>
        <w:tc>
          <w:tcPr>
            <w:tcW w:type="dxa" w:w="3756"/>
          </w:tcPr>
          <w:p>
            <w:pPr>
              <w:pStyle w:val="Compact"/>
              <w:jc w:val="left"/>
            </w:pPr>
            <w:r>
              <w:rPr>
                <w:b/>
                <w:sz w:val="15"/>
              </w:rPr>
              <w:t xml:space="preserve">Dimension</w:t>
            </w:r>
          </w:p>
        </w:tc>
        <w:tc>
          <w:tcPr>
            <w:tcW w:type="dxa" w:w="3756"/>
          </w:tcPr>
          <w:p>
            <w:pPr>
              <w:pStyle w:val="Compact"/>
              <w:jc w:val="left"/>
            </w:pPr>
            <w:r>
              <w:rPr>
                <w:b/>
                <w:sz w:val="15"/>
              </w:rPr>
              <w:t xml:space="preserve">Agreement</w:t>
            </w:r>
          </w:p>
        </w:tc>
        <w:tc>
          <w:tcPr>
            <w:tcW w:type="dxa" w:w="3756"/>
          </w:tcPr>
          <w:p>
            <w:pPr>
              <w:pStyle w:val="Compact"/>
              <w:jc w:val="left"/>
            </w:pPr>
            <w:r>
              <w:rPr>
                <w:b/>
                <w:sz w:val="15"/>
              </w:rPr>
              <w:t xml:space="preserve">Cohen’s kappa</w:t>
            </w:r>
          </w:p>
        </w:tc>
        <w:tc>
          <w:tcPr>
            <w:tcW w:type="dxa" w:w="3756"/>
          </w:tcPr>
          <w:p>
            <w:pPr>
              <w:pStyle w:val="Compact"/>
              <w:jc w:val="left"/>
            </w:pPr>
            <w:r>
              <w:rPr>
                <w:b/>
                <w:sz w:val="15"/>
              </w:rPr>
              <w:t xml:space="preserve">Rows that differed</w:t>
            </w:r>
          </w:p>
        </w:tc>
      </w:tr>
      <w:tr>
        <w:tc>
          <w:tcPr>
            <w:tcW w:type="dxa" w:w="3756"/>
          </w:tcPr>
          <w:p>
            <w:pPr>
              <w:pStyle w:val="Compact"/>
              <w:jc w:val="left"/>
            </w:pPr>
            <w:r>
              <w:rPr>
                <w:sz w:val="15"/>
              </w:rPr>
              <w:t xml:space="preserve">Layer</w:t>
            </w:r>
          </w:p>
        </w:tc>
        <w:tc>
          <w:tcPr>
            <w:tcW w:type="dxa" w:w="3756"/>
          </w:tcPr>
          <w:p>
            <w:pPr>
              <w:pStyle w:val="Compact"/>
              <w:jc w:val="left"/>
            </w:pPr>
            <w:r>
              <w:rPr>
                <w:sz w:val="15"/>
              </w:rPr>
              <w:t xml:space="preserve">20 of 29 (69%)</w:t>
            </w:r>
          </w:p>
        </w:tc>
        <w:tc>
          <w:tcPr>
            <w:tcW w:type="dxa" w:w="3756"/>
          </w:tcPr>
          <w:p>
            <w:pPr>
              <w:pStyle w:val="Compact"/>
              <w:jc w:val="left"/>
            </w:pPr>
            <w:r>
              <w:rPr>
                <w:sz w:val="15"/>
              </w:rPr>
              <w:t xml:space="preserve">0.60</w:t>
            </w:r>
          </w:p>
        </w:tc>
        <w:tc>
          <w:tcPr>
            <w:tcW w:type="dxa" w:w="3756"/>
          </w:tcPr>
          <w:p>
            <w:pPr>
              <w:pStyle w:val="Compact"/>
              <w:jc w:val="left"/>
            </w:pPr>
            <w:r>
              <w:rPr>
                <w:sz w:val="15"/>
              </w:rPr>
              <w:t xml:space="preserve">2, 4, 7, 8, 9, 14, 22, 24, 27</w:t>
            </w:r>
          </w:p>
        </w:tc>
      </w:tr>
      <w:tr>
        <w:tc>
          <w:tcPr>
            <w:tcW w:type="dxa" w:w="3756"/>
          </w:tcPr>
          <w:p>
            <w:pPr>
              <w:pStyle w:val="Compact"/>
              <w:jc w:val="left"/>
            </w:pPr>
            <w:r>
              <w:rPr>
                <w:sz w:val="15"/>
              </w:rPr>
              <w:t xml:space="preserve">Delivery</w:t>
            </w:r>
          </w:p>
        </w:tc>
        <w:tc>
          <w:tcPr>
            <w:tcW w:type="dxa" w:w="3756"/>
          </w:tcPr>
          <w:p>
            <w:pPr>
              <w:pStyle w:val="Compact"/>
              <w:jc w:val="left"/>
            </w:pPr>
            <w:r>
              <w:rPr>
                <w:sz w:val="15"/>
              </w:rPr>
              <w:t xml:space="preserve">24 of 29 (83%)</w:t>
            </w:r>
          </w:p>
        </w:tc>
        <w:tc>
          <w:tcPr>
            <w:tcW w:type="dxa" w:w="3756"/>
          </w:tcPr>
          <w:p>
            <w:pPr>
              <w:pStyle w:val="Compact"/>
              <w:jc w:val="left"/>
            </w:pPr>
            <w:r>
              <w:rPr>
                <w:sz w:val="15"/>
              </w:rPr>
              <w:t xml:space="preserve">0.73</w:t>
            </w:r>
          </w:p>
        </w:tc>
        <w:tc>
          <w:tcPr>
            <w:tcW w:type="dxa" w:w="3756"/>
          </w:tcPr>
          <w:p>
            <w:pPr>
              <w:pStyle w:val="Compact"/>
              <w:jc w:val="left"/>
            </w:pPr>
            <w:r>
              <w:rPr>
                <w:sz w:val="15"/>
              </w:rPr>
              <w:t xml:space="preserve">24, 25, 27, 28, 29</w:t>
            </w:r>
          </w:p>
        </w:tc>
      </w:tr>
      <w:tr>
        <w:tc>
          <w:tcPr>
            <w:tcW w:type="dxa" w:w="3756"/>
          </w:tcPr>
          <w:p>
            <w:pPr>
              <w:pStyle w:val="Compact"/>
              <w:jc w:val="left"/>
            </w:pPr>
            <w:r>
              <w:rPr>
                <w:sz w:val="15"/>
              </w:rPr>
              <w:t xml:space="preserve">New-firm accommodation</w:t>
            </w:r>
          </w:p>
        </w:tc>
        <w:tc>
          <w:tcPr>
            <w:tcW w:type="dxa" w:w="3756"/>
          </w:tcPr>
          <w:p>
            <w:pPr>
              <w:pStyle w:val="Compact"/>
              <w:jc w:val="left"/>
            </w:pPr>
            <w:r>
              <w:rPr>
                <w:sz w:val="15"/>
              </w:rPr>
              <w:t xml:space="preserve">22 of 29 (76%)</w:t>
            </w:r>
          </w:p>
        </w:tc>
        <w:tc>
          <w:tcPr>
            <w:tcW w:type="dxa" w:w="3756"/>
          </w:tcPr>
          <w:p>
            <w:pPr>
              <w:pStyle w:val="Compact"/>
              <w:jc w:val="left"/>
            </w:pPr>
            <w:r>
              <w:rPr>
                <w:sz w:val="15"/>
              </w:rPr>
              <w:t xml:space="preserve">0.57</w:t>
            </w:r>
          </w:p>
        </w:tc>
        <w:tc>
          <w:tcPr>
            <w:tcW w:type="dxa" w:w="3756"/>
          </w:tcPr>
          <w:p>
            <w:pPr>
              <w:pStyle w:val="Compact"/>
              <w:jc w:val="left"/>
            </w:pPr>
            <w:r>
              <w:rPr>
                <w:sz w:val="15"/>
              </w:rPr>
              <w:t xml:space="preserve">3, 7, 20, 23, 24, 25, 26</w:t>
            </w:r>
          </w:p>
        </w:tc>
      </w:tr>
      <w:tr>
        <w:tc>
          <w:tcPr>
            <w:tcW w:type="dxa" w:w="3756"/>
          </w:tcPr>
          <w:p>
            <w:pPr>
              <w:pStyle w:val="Compact"/>
              <w:jc w:val="left"/>
            </w:pPr>
            <w:r>
              <w:rPr>
                <w:sz w:val="15"/>
              </w:rPr>
              <w:t xml:space="preserve">Threshold figures</w:t>
            </w:r>
          </w:p>
        </w:tc>
        <w:tc>
          <w:tcPr>
            <w:tcW w:type="dxa" w:w="3756"/>
          </w:tcPr>
          <w:p>
            <w:pPr>
              <w:pStyle w:val="Compact"/>
              <w:jc w:val="left"/>
            </w:pPr>
            <w:r>
              <w:rPr>
                <w:sz w:val="15"/>
              </w:rPr>
              <w:t xml:space="preserve">28 of 29</w:t>
            </w:r>
          </w:p>
        </w:tc>
        <w:tc>
          <w:tcPr>
            <w:tcW w:type="dxa" w:w="3756"/>
          </w:tcPr>
          <w:p>
            <w:pPr>
              <w:pStyle w:val="Compact"/>
              <w:jc w:val="left"/>
            </w:pPr>
            <w:r>
              <w:rPr>
                <w:sz w:val="15"/>
              </w:rPr>
              <w:t xml:space="preserve">not computed</w:t>
            </w:r>
          </w:p>
        </w:tc>
        <w:tc>
          <w:tcPr>
            <w:tcW w:type="dxa" w:w="3756"/>
          </w:tcPr>
          <w:p>
            <w:pPr>
              <w:pStyle w:val="Compact"/>
              <w:jc w:val="left"/>
            </w:pPr>
            <w:r>
              <w:rPr>
                <w:sz w:val="15"/>
              </w:rPr>
              <w:t xml:space="preserve">3 (reading of</w:t>
            </w:r>
            <w:r>
              <w:rPr>
                <w:sz w:val="15"/>
              </w:rPr>
              <w:t xml:space="preserve"> </w:t>
            </w:r>
            <w:r>
              <w:rPr>
                <w:sz w:val="15"/>
              </w:rPr>
              <w:t xml:space="preserve">“</w:t>
            </w:r>
            <w:r>
              <w:rPr>
                <w:sz w:val="15"/>
              </w:rPr>
              <w:t xml:space="preserve">whichever is lower</w:t>
            </w:r>
            <w:r>
              <w:rPr>
                <w:sz w:val="15"/>
              </w:rPr>
              <w:t xml:space="preserve">”</w:t>
            </w:r>
            <w:r>
              <w:rPr>
                <w:sz w:val="15"/>
              </w:rPr>
              <w:t xml:space="preserve">)</w:t>
            </w:r>
          </w:p>
        </w:tc>
      </w:tr>
    </w:tbl>
    <w:p>
      <w:pPr>
        <w:pStyle w:val="BodyText"/>
      </w:pPr>
      <w:r>
        <w:t xml:space="preserve">Kappa is moderate on layer and accommodation, as expected for categories that depend on how an instrument’s scope is read. Layer disagreements concerned whether a technology-neutral instrument is cross-cutting or belongs to a layer. Agreement on the thresholds, the quantities that Tables 3 and 5 of the manuscript rely on, was near complete.</w:t>
      </w:r>
    </w:p>
    <w:p>
      <w:pPr>
        <w:pStyle w:val="BodyText"/>
      </w:pPr>
      <w:r>
        <w:rPr>
          <w:bCs/>
          <w:b/>
        </w:rPr>
        <w:t xml:space="preserve">Resolution of disagreements</w:t>
      </w:r>
      <w:r>
        <w:t xml:space="preserve"> </w:t>
      </w:r>
      <w:r>
        <w:t xml:space="preserve">(first coder’s code, second coder’s code, final):</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715"/>
        <w:gridCol w:w="2861"/>
        <w:gridCol w:w="3577"/>
        <w:gridCol w:w="4292"/>
        <w:gridCol w:w="3577"/>
      </w:tblGrid>
      <w:tr>
        <w:trPr>
          <w:tblHeader w:val="true"/>
        </w:trPr>
        <w:tc>
          <w:tcPr>
            <w:tcW w:type="dxa" w:w="715"/>
          </w:tcPr>
          <w:p>
            <w:pPr>
              <w:pStyle w:val="Compact"/>
              <w:jc w:val="left"/>
            </w:pPr>
            <w:r>
              <w:rPr>
                <w:b/>
                <w:sz w:val="15"/>
              </w:rPr>
              <w:t xml:space="preserve">Row</w:t>
            </w:r>
          </w:p>
        </w:tc>
        <w:tc>
          <w:tcPr>
            <w:tcW w:type="dxa" w:w="2862"/>
          </w:tcPr>
          <w:p>
            <w:pPr>
              <w:pStyle w:val="Compact"/>
              <w:jc w:val="left"/>
            </w:pPr>
            <w:r>
              <w:rPr>
                <w:b/>
                <w:sz w:val="15"/>
              </w:rPr>
              <w:t xml:space="preserve">Dimension</w:t>
            </w:r>
          </w:p>
        </w:tc>
        <w:tc>
          <w:tcPr>
            <w:tcW w:type="dxa" w:w="3577"/>
          </w:tcPr>
          <w:p>
            <w:pPr>
              <w:pStyle w:val="Compact"/>
              <w:jc w:val="left"/>
            </w:pPr>
            <w:r>
              <w:rPr>
                <w:b/>
                <w:sz w:val="15"/>
              </w:rPr>
              <w:t xml:space="preserve">First coder</w:t>
            </w:r>
          </w:p>
        </w:tc>
        <w:tc>
          <w:tcPr>
            <w:tcW w:type="dxa" w:w="4292"/>
          </w:tcPr>
          <w:p>
            <w:pPr>
              <w:pStyle w:val="Compact"/>
              <w:jc w:val="left"/>
            </w:pPr>
            <w:r>
              <w:rPr>
                <w:b/>
                <w:sz w:val="15"/>
              </w:rPr>
              <w:t xml:space="preserve">Second coder</w:t>
            </w:r>
          </w:p>
        </w:tc>
        <w:tc>
          <w:tcPr>
            <w:tcW w:type="dxa" w:w="3577"/>
          </w:tcPr>
          <w:p>
            <w:pPr>
              <w:pStyle w:val="Compact"/>
              <w:jc w:val="left"/>
            </w:pPr>
            <w:r>
              <w:rPr>
                <w:b/>
                <w:sz w:val="15"/>
              </w:rPr>
              <w:t xml:space="preserve">Final and reason</w:t>
            </w:r>
          </w:p>
        </w:tc>
      </w:tr>
      <w:tr>
        <w:tc>
          <w:tcPr>
            <w:tcW w:type="dxa" w:w="715"/>
          </w:tcPr>
          <w:p>
            <w:pPr>
              <w:pStyle w:val="Compact"/>
              <w:jc w:val="left"/>
            </w:pPr>
            <w:r>
              <w:rPr>
                <w:sz w:val="15"/>
              </w:rPr>
              <w:t xml:space="preserve">2</w:t>
            </w:r>
          </w:p>
        </w:tc>
        <w:tc>
          <w:tcPr>
            <w:tcW w:type="dxa" w:w="2862"/>
          </w:tcPr>
          <w:p>
            <w:pPr>
              <w:pStyle w:val="Compact"/>
              <w:jc w:val="left"/>
            </w:pPr>
            <w:r>
              <w:rPr>
                <w:sz w:val="15"/>
              </w:rPr>
              <w:t xml:space="preserve">Layer</w:t>
            </w:r>
          </w:p>
        </w:tc>
        <w:tc>
          <w:tcPr>
            <w:tcW w:type="dxa" w:w="3577"/>
          </w:tcPr>
          <w:p>
            <w:pPr>
              <w:pStyle w:val="Compact"/>
              <w:jc w:val="left"/>
            </w:pPr>
            <w:r>
              <w:rPr>
                <w:sz w:val="15"/>
              </w:rPr>
              <w:t xml:space="preserve">(i)</w:t>
            </w:r>
          </w:p>
        </w:tc>
        <w:tc>
          <w:tcPr>
            <w:tcW w:type="dxa" w:w="4292"/>
          </w:tcPr>
          <w:p>
            <w:pPr>
              <w:pStyle w:val="Compact"/>
              <w:jc w:val="left"/>
            </w:pPr>
            <w:r>
              <w:rPr>
                <w:sz w:val="15"/>
              </w:rPr>
              <w:t xml:space="preserve">Cross-cutting</w:t>
            </w:r>
          </w:p>
        </w:tc>
        <w:tc>
          <w:tcPr>
            <w:tcW w:type="dxa" w:w="3577"/>
          </w:tcPr>
          <w:p>
            <w:pPr>
              <w:pStyle w:val="Compact"/>
              <w:jc w:val="left"/>
            </w:pPr>
            <w:r>
              <w:rPr>
                <w:sz w:val="15"/>
              </w:rPr>
              <w:t xml:space="preserve">Cross-cutting: Activity 10.2 covers R&amp;D of any technology</w:t>
            </w:r>
          </w:p>
        </w:tc>
      </w:tr>
      <w:tr>
        <w:tc>
          <w:tcPr>
            <w:tcW w:type="dxa" w:w="715"/>
          </w:tcPr>
          <w:p>
            <w:pPr>
              <w:pStyle w:val="Compact"/>
              <w:jc w:val="left"/>
            </w:pPr>
            <w:r>
              <w:rPr>
                <w:sz w:val="15"/>
              </w:rPr>
              <w:t xml:space="preserve">3</w:t>
            </w:r>
          </w:p>
        </w:tc>
        <w:tc>
          <w:tcPr>
            <w:tcW w:type="dxa" w:w="2862"/>
          </w:tcPr>
          <w:p>
            <w:pPr>
              <w:pStyle w:val="Compact"/>
              <w:jc w:val="left"/>
            </w:pPr>
            <w:r>
              <w:rPr>
                <w:sz w:val="15"/>
              </w:rPr>
              <w:t xml:space="preserve">Accommodation</w:t>
            </w:r>
          </w:p>
        </w:tc>
        <w:tc>
          <w:tcPr>
            <w:tcW w:type="dxa" w:w="3577"/>
          </w:tcPr>
          <w:p>
            <w:pPr>
              <w:pStyle w:val="Compact"/>
              <w:jc w:val="left"/>
            </w:pPr>
            <w:r>
              <w:rPr>
                <w:sz w:val="15"/>
              </w:rPr>
              <w:t xml:space="preserve">No</w:t>
            </w:r>
          </w:p>
        </w:tc>
        <w:tc>
          <w:tcPr>
            <w:tcW w:type="dxa" w:w="4292"/>
          </w:tcPr>
          <w:p>
            <w:pPr>
              <w:pStyle w:val="Compact"/>
              <w:jc w:val="left"/>
            </w:pPr>
            <w:r>
              <w:rPr>
                <w:sz w:val="15"/>
              </w:rPr>
              <w:t xml:space="preserve">Not scale-based</w:t>
            </w:r>
          </w:p>
        </w:tc>
        <w:tc>
          <w:tcPr>
            <w:tcW w:type="dxa" w:w="3577"/>
          </w:tcPr>
          <w:p>
            <w:pPr>
              <w:pStyle w:val="Compact"/>
              <w:jc w:val="left"/>
            </w:pPr>
            <w:r>
              <w:rPr>
                <w:sz w:val="15"/>
              </w:rPr>
              <w:t xml:space="preserve">Not scale-based: the rule is proportional to sales</w:t>
            </w:r>
          </w:p>
        </w:tc>
      </w:tr>
      <w:tr>
        <w:tc>
          <w:tcPr>
            <w:tcW w:type="dxa" w:w="715"/>
          </w:tcPr>
          <w:p>
            <w:pPr>
              <w:pStyle w:val="Compact"/>
              <w:jc w:val="left"/>
            </w:pPr>
            <w:r>
              <w:rPr>
                <w:sz w:val="15"/>
              </w:rPr>
              <w:t xml:space="preserve">4</w:t>
            </w:r>
          </w:p>
        </w:tc>
        <w:tc>
          <w:tcPr>
            <w:tcW w:type="dxa" w:w="2862"/>
          </w:tcPr>
          <w:p>
            <w:pPr>
              <w:pStyle w:val="Compact"/>
              <w:jc w:val="left"/>
            </w:pPr>
            <w:r>
              <w:rPr>
                <w:sz w:val="15"/>
              </w:rPr>
              <w:t xml:space="preserve">Layer</w:t>
            </w:r>
          </w:p>
        </w:tc>
        <w:tc>
          <w:tcPr>
            <w:tcW w:type="dxa" w:w="3577"/>
          </w:tcPr>
          <w:p>
            <w:pPr>
              <w:pStyle w:val="Compact"/>
              <w:jc w:val="left"/>
            </w:pPr>
            <w:r>
              <w:rPr>
                <w:sz w:val="15"/>
              </w:rPr>
              <w:t xml:space="preserve">(ii)+(iii)</w:t>
            </w:r>
          </w:p>
        </w:tc>
        <w:tc>
          <w:tcPr>
            <w:tcW w:type="dxa" w:w="4292"/>
          </w:tcPr>
          <w:p>
            <w:pPr>
              <w:pStyle w:val="Compact"/>
              <w:jc w:val="left"/>
            </w:pPr>
            <w:r>
              <w:rPr>
                <w:sz w:val="15"/>
              </w:rPr>
              <w:t xml:space="preserve">(ii)</w:t>
            </w:r>
          </w:p>
        </w:tc>
        <w:tc>
          <w:tcPr>
            <w:tcW w:type="dxa" w:w="3577"/>
          </w:tcPr>
          <w:p>
            <w:pPr>
              <w:pStyle w:val="Compact"/>
              <w:jc w:val="left"/>
            </w:pPr>
            <w:r>
              <w:rPr>
                <w:sz w:val="15"/>
              </w:rPr>
              <w:t xml:space="preserve">(ii): the activity is rental of computing equipment</w:t>
            </w:r>
          </w:p>
        </w:tc>
      </w:tr>
      <w:tr>
        <w:tc>
          <w:tcPr>
            <w:tcW w:type="dxa" w:w="715"/>
          </w:tcPr>
          <w:p>
            <w:pPr>
              <w:pStyle w:val="Compact"/>
              <w:jc w:val="left"/>
            </w:pPr>
            <w:r>
              <w:rPr>
                <w:sz w:val="15"/>
              </w:rPr>
              <w:t xml:space="preserve">7, 8, 9</w:t>
            </w:r>
          </w:p>
        </w:tc>
        <w:tc>
          <w:tcPr>
            <w:tcW w:type="dxa" w:w="2862"/>
          </w:tcPr>
          <w:p>
            <w:pPr>
              <w:pStyle w:val="Compact"/>
              <w:jc w:val="left"/>
            </w:pPr>
            <w:r>
              <w:rPr>
                <w:sz w:val="15"/>
              </w:rPr>
              <w:t xml:space="preserve">Layer</w:t>
            </w:r>
          </w:p>
        </w:tc>
        <w:tc>
          <w:tcPr>
            <w:tcW w:type="dxa" w:w="3577"/>
          </w:tcPr>
          <w:p>
            <w:pPr>
              <w:pStyle w:val="Compact"/>
              <w:jc w:val="left"/>
            </w:pPr>
            <w:r>
              <w:rPr>
                <w:sz w:val="15"/>
              </w:rPr>
              <w:t xml:space="preserve">(i)</w:t>
            </w:r>
          </w:p>
        </w:tc>
        <w:tc>
          <w:tcPr>
            <w:tcW w:type="dxa" w:w="4292"/>
          </w:tcPr>
          <w:p>
            <w:pPr>
              <w:pStyle w:val="Compact"/>
              <w:jc w:val="left"/>
            </w:pPr>
            <w:r>
              <w:rPr>
                <w:sz w:val="15"/>
              </w:rPr>
              <w:t xml:space="preserve">Cross-cutting</w:t>
            </w:r>
          </w:p>
        </w:tc>
        <w:tc>
          <w:tcPr>
            <w:tcW w:type="dxa" w:w="3577"/>
          </w:tcPr>
          <w:p>
            <w:pPr>
              <w:pStyle w:val="Compact"/>
              <w:jc w:val="left"/>
            </w:pPr>
            <w:r>
              <w:rPr>
                <w:sz w:val="15"/>
              </w:rPr>
              <w:t xml:space="preserve">Cross-cutting: the tracks cover listed technologies of any layer</w:t>
            </w:r>
          </w:p>
        </w:tc>
      </w:tr>
      <w:tr>
        <w:tc>
          <w:tcPr>
            <w:tcW w:type="dxa" w:w="715"/>
          </w:tcPr>
          <w:p>
            <w:pPr>
              <w:pStyle w:val="Compact"/>
              <w:jc w:val="left"/>
            </w:pPr>
            <w:r>
              <w:rPr>
                <w:sz w:val="15"/>
              </w:rPr>
              <w:t xml:space="preserve">7</w:t>
            </w:r>
          </w:p>
        </w:tc>
        <w:tc>
          <w:tcPr>
            <w:tcW w:type="dxa" w:w="2862"/>
          </w:tcPr>
          <w:p>
            <w:pPr>
              <w:pStyle w:val="Compact"/>
              <w:jc w:val="left"/>
            </w:pPr>
            <w:r>
              <w:rPr>
                <w:sz w:val="15"/>
              </w:rPr>
              <w:t xml:space="preserve">Accommodation</w:t>
            </w:r>
          </w:p>
        </w:tc>
        <w:tc>
          <w:tcPr>
            <w:tcW w:type="dxa" w:w="3577"/>
          </w:tcPr>
          <w:p>
            <w:pPr>
              <w:pStyle w:val="Compact"/>
              <w:jc w:val="left"/>
            </w:pPr>
            <w:r>
              <w:rPr>
                <w:sz w:val="15"/>
              </w:rPr>
              <w:t xml:space="preserve">No</w:t>
            </w:r>
          </w:p>
        </w:tc>
        <w:tc>
          <w:tcPr>
            <w:tcW w:type="dxa" w:w="4292"/>
          </w:tcPr>
          <w:p>
            <w:pPr>
              <w:pStyle w:val="Compact"/>
              <w:jc w:val="left"/>
            </w:pPr>
            <w:r>
              <w:rPr>
                <w:sz w:val="15"/>
              </w:rPr>
              <w:t xml:space="preserve">Not scale-based</w:t>
            </w:r>
          </w:p>
        </w:tc>
        <w:tc>
          <w:tcPr>
            <w:tcW w:type="dxa" w:w="3577"/>
          </w:tcPr>
          <w:p>
            <w:pPr>
              <w:pStyle w:val="Compact"/>
              <w:jc w:val="left"/>
            </w:pPr>
            <w:r>
              <w:rPr>
                <w:sz w:val="15"/>
              </w:rPr>
              <w:t xml:space="preserve">Not scale-based: proportional ratios</w:t>
            </w:r>
          </w:p>
        </w:tc>
      </w:tr>
      <w:tr>
        <w:tc>
          <w:tcPr>
            <w:tcW w:type="dxa" w:w="715"/>
          </w:tcPr>
          <w:p>
            <w:pPr>
              <w:pStyle w:val="Compact"/>
              <w:jc w:val="left"/>
            </w:pPr>
            <w:r>
              <w:rPr>
                <w:sz w:val="15"/>
              </w:rPr>
              <w:t xml:space="preserve">14</w:t>
            </w:r>
          </w:p>
        </w:tc>
        <w:tc>
          <w:tcPr>
            <w:tcW w:type="dxa" w:w="2862"/>
          </w:tcPr>
          <w:p>
            <w:pPr>
              <w:pStyle w:val="Compact"/>
              <w:jc w:val="left"/>
            </w:pPr>
            <w:r>
              <w:rPr>
                <w:sz w:val="15"/>
              </w:rPr>
              <w:t xml:space="preserve">Layer</w:t>
            </w:r>
          </w:p>
        </w:tc>
        <w:tc>
          <w:tcPr>
            <w:tcW w:type="dxa" w:w="3577"/>
          </w:tcPr>
          <w:p>
            <w:pPr>
              <w:pStyle w:val="Compact"/>
              <w:jc w:val="left"/>
            </w:pPr>
            <w:r>
              <w:rPr>
                <w:sz w:val="15"/>
              </w:rPr>
              <w:t xml:space="preserve">(i) and (ii)</w:t>
            </w:r>
          </w:p>
        </w:tc>
        <w:tc>
          <w:tcPr>
            <w:tcW w:type="dxa" w:w="4292"/>
          </w:tcPr>
          <w:p>
            <w:pPr>
              <w:pStyle w:val="Compact"/>
              <w:jc w:val="left"/>
            </w:pPr>
            <w:r>
              <w:rPr>
                <w:sz w:val="15"/>
              </w:rPr>
              <w:t xml:space="preserve">Cross-cutting</w:t>
            </w:r>
          </w:p>
        </w:tc>
        <w:tc>
          <w:tcPr>
            <w:tcW w:type="dxa" w:w="3577"/>
          </w:tcPr>
          <w:p>
            <w:pPr>
              <w:pStyle w:val="Compact"/>
              <w:jc w:val="left"/>
            </w:pPr>
            <w:r>
              <w:rPr>
                <w:sz w:val="15"/>
              </w:rPr>
              <w:t xml:space="preserve">Cross-cutting: ten enablers across layers</w:t>
            </w:r>
          </w:p>
        </w:tc>
      </w:tr>
      <w:tr>
        <w:tc>
          <w:tcPr>
            <w:tcW w:type="dxa" w:w="715"/>
          </w:tcPr>
          <w:p>
            <w:pPr>
              <w:pStyle w:val="Compact"/>
              <w:jc w:val="left"/>
            </w:pPr>
            <w:r>
              <w:rPr>
                <w:sz w:val="15"/>
              </w:rPr>
              <w:t xml:space="preserve">20</w:t>
            </w:r>
          </w:p>
        </w:tc>
        <w:tc>
          <w:tcPr>
            <w:tcW w:type="dxa" w:w="2862"/>
          </w:tcPr>
          <w:p>
            <w:pPr>
              <w:pStyle w:val="Compact"/>
              <w:jc w:val="left"/>
            </w:pPr>
            <w:r>
              <w:rPr>
                <w:sz w:val="15"/>
              </w:rPr>
              <w:t xml:space="preserve">Accommodation</w:t>
            </w:r>
          </w:p>
        </w:tc>
        <w:tc>
          <w:tcPr>
            <w:tcW w:type="dxa" w:w="3577"/>
          </w:tcPr>
          <w:p>
            <w:pPr>
              <w:pStyle w:val="Compact"/>
              <w:jc w:val="left"/>
            </w:pPr>
            <w:r>
              <w:rPr>
                <w:sz w:val="15"/>
              </w:rPr>
              <w:t xml:space="preserve">Not applicable</w:t>
            </w:r>
          </w:p>
        </w:tc>
        <w:tc>
          <w:tcPr>
            <w:tcW w:type="dxa" w:w="4292"/>
          </w:tcPr>
          <w:p>
            <w:pPr>
              <w:pStyle w:val="Compact"/>
              <w:jc w:val="left"/>
            </w:pPr>
            <w:r>
              <w:rPr>
                <w:sz w:val="15"/>
              </w:rPr>
              <w:t xml:space="preserve">No</w:t>
            </w:r>
          </w:p>
        </w:tc>
        <w:tc>
          <w:tcPr>
            <w:tcW w:type="dxa" w:w="3577"/>
          </w:tcPr>
          <w:p>
            <w:pPr>
              <w:pStyle w:val="Compact"/>
              <w:jc w:val="left"/>
            </w:pPr>
            <w:r>
              <w:rPr>
                <w:sz w:val="15"/>
              </w:rPr>
              <w:t xml:space="preserve">No: discretionary, not an entitlement</w:t>
            </w:r>
          </w:p>
        </w:tc>
      </w:tr>
      <w:tr>
        <w:tc>
          <w:tcPr>
            <w:tcW w:type="dxa" w:w="715"/>
          </w:tcPr>
          <w:p>
            <w:pPr>
              <w:pStyle w:val="Compact"/>
              <w:jc w:val="left"/>
            </w:pPr>
            <w:r>
              <w:rPr>
                <w:sz w:val="15"/>
              </w:rPr>
              <w:t xml:space="preserve">22</w:t>
            </w:r>
          </w:p>
        </w:tc>
        <w:tc>
          <w:tcPr>
            <w:tcW w:type="dxa" w:w="2862"/>
          </w:tcPr>
          <w:p>
            <w:pPr>
              <w:pStyle w:val="Compact"/>
              <w:jc w:val="left"/>
            </w:pPr>
            <w:r>
              <w:rPr>
                <w:sz w:val="15"/>
              </w:rPr>
              <w:t xml:space="preserve">Layer</w:t>
            </w:r>
          </w:p>
        </w:tc>
        <w:tc>
          <w:tcPr>
            <w:tcW w:type="dxa" w:w="3577"/>
          </w:tcPr>
          <w:p>
            <w:pPr>
              <w:pStyle w:val="Compact"/>
              <w:jc w:val="left"/>
            </w:pPr>
            <w:r>
              <w:rPr>
                <w:sz w:val="15"/>
              </w:rPr>
              <w:t xml:space="preserve">(ii)+(iii)</w:t>
            </w:r>
          </w:p>
        </w:tc>
        <w:tc>
          <w:tcPr>
            <w:tcW w:type="dxa" w:w="4292"/>
          </w:tcPr>
          <w:p>
            <w:pPr>
              <w:pStyle w:val="Compact"/>
              <w:jc w:val="left"/>
            </w:pPr>
            <w:r>
              <w:rPr>
                <w:sz w:val="15"/>
              </w:rPr>
              <w:t xml:space="preserve">(iii)</w:t>
            </w:r>
          </w:p>
        </w:tc>
        <w:tc>
          <w:tcPr>
            <w:tcW w:type="dxa" w:w="3577"/>
          </w:tcPr>
          <w:p>
            <w:pPr>
              <w:pStyle w:val="Compact"/>
              <w:jc w:val="left"/>
            </w:pPr>
            <w:r>
              <w:rPr>
                <w:sz w:val="15"/>
              </w:rPr>
              <w:t xml:space="preserve">(iii): data centres are facilities</w:t>
            </w:r>
          </w:p>
        </w:tc>
      </w:tr>
      <w:tr>
        <w:tc>
          <w:tcPr>
            <w:tcW w:type="dxa" w:w="715"/>
          </w:tcPr>
          <w:p>
            <w:pPr>
              <w:pStyle w:val="Compact"/>
              <w:jc w:val="left"/>
            </w:pPr>
            <w:r>
              <w:rPr>
                <w:sz w:val="15"/>
              </w:rPr>
              <w:t xml:space="preserve">23</w:t>
            </w:r>
          </w:p>
        </w:tc>
        <w:tc>
          <w:tcPr>
            <w:tcW w:type="dxa" w:w="2862"/>
          </w:tcPr>
          <w:p>
            <w:pPr>
              <w:pStyle w:val="Compact"/>
              <w:jc w:val="left"/>
            </w:pPr>
            <w:r>
              <w:rPr>
                <w:sz w:val="15"/>
              </w:rPr>
              <w:t xml:space="preserve">Accommodation</w:t>
            </w:r>
          </w:p>
        </w:tc>
        <w:tc>
          <w:tcPr>
            <w:tcW w:type="dxa" w:w="3577"/>
          </w:tcPr>
          <w:p>
            <w:pPr>
              <w:pStyle w:val="Compact"/>
              <w:jc w:val="left"/>
            </w:pPr>
            <w:r>
              <w:rPr>
                <w:sz w:val="15"/>
              </w:rPr>
              <w:t xml:space="preserve">No</w:t>
            </w:r>
          </w:p>
        </w:tc>
        <w:tc>
          <w:tcPr>
            <w:tcW w:type="dxa" w:w="4292"/>
          </w:tcPr>
          <w:p>
            <w:pPr>
              <w:pStyle w:val="Compact"/>
              <w:jc w:val="left"/>
            </w:pPr>
            <w:r>
              <w:rPr>
                <w:sz w:val="15"/>
              </w:rPr>
              <w:t xml:space="preserve">Not scale-based</w:t>
            </w:r>
          </w:p>
        </w:tc>
        <w:tc>
          <w:tcPr>
            <w:tcW w:type="dxa" w:w="3577"/>
          </w:tcPr>
          <w:p>
            <w:pPr>
              <w:pStyle w:val="Compact"/>
              <w:jc w:val="left"/>
            </w:pPr>
            <w:r>
              <w:rPr>
                <w:sz w:val="15"/>
              </w:rPr>
              <w:t xml:space="preserve">No kept: categories are set by power capacity and carry no easing for small firms</w:t>
            </w:r>
          </w:p>
        </w:tc>
      </w:tr>
      <w:tr>
        <w:tc>
          <w:tcPr>
            <w:tcW w:type="dxa" w:w="715"/>
          </w:tcPr>
          <w:p>
            <w:pPr>
              <w:pStyle w:val="Compact"/>
              <w:jc w:val="left"/>
            </w:pPr>
            <w:r>
              <w:rPr>
                <w:sz w:val="15"/>
              </w:rPr>
              <w:t xml:space="preserve">24</w:t>
            </w:r>
          </w:p>
        </w:tc>
        <w:tc>
          <w:tcPr>
            <w:tcW w:type="dxa" w:w="2862"/>
          </w:tcPr>
          <w:p>
            <w:pPr>
              <w:pStyle w:val="Compact"/>
              <w:jc w:val="left"/>
            </w:pPr>
            <w:r>
              <w:rPr>
                <w:sz w:val="15"/>
              </w:rPr>
              <w:t xml:space="preserve">Layer, accommodation, delivery</w:t>
            </w:r>
          </w:p>
        </w:tc>
        <w:tc>
          <w:tcPr>
            <w:tcW w:type="dxa" w:w="3577"/>
          </w:tcPr>
          <w:p>
            <w:pPr>
              <w:pStyle w:val="Compact"/>
              <w:jc w:val="left"/>
            </w:pPr>
            <w:r>
              <w:rPr>
                <w:sz w:val="15"/>
              </w:rPr>
              <w:t xml:space="preserve">(ii)+(iii), Not applicable, Indirect</w:t>
            </w:r>
          </w:p>
        </w:tc>
        <w:tc>
          <w:tcPr>
            <w:tcW w:type="dxa" w:w="4292"/>
          </w:tcPr>
          <w:p>
            <w:pPr>
              <w:pStyle w:val="Compact"/>
              <w:jc w:val="left"/>
            </w:pPr>
            <w:r>
              <w:rPr>
                <w:sz w:val="15"/>
              </w:rPr>
              <w:t xml:space="preserve">Cross-cutting, No, Both</w:t>
            </w:r>
          </w:p>
        </w:tc>
        <w:tc>
          <w:tcPr>
            <w:tcW w:type="dxa" w:w="3577"/>
          </w:tcPr>
          <w:p>
            <w:pPr>
              <w:pStyle w:val="Compact"/>
              <w:jc w:val="left"/>
            </w:pPr>
            <w:r>
              <w:rPr>
                <w:sz w:val="15"/>
              </w:rPr>
              <w:t xml:space="preserve">Second coder’s codes: the article covers technology infrastructure generally and the form of State support is unspecified</w:t>
            </w:r>
          </w:p>
        </w:tc>
      </w:tr>
      <w:tr>
        <w:tc>
          <w:tcPr>
            <w:tcW w:type="dxa" w:w="715"/>
          </w:tcPr>
          <w:p>
            <w:pPr>
              <w:pStyle w:val="Compact"/>
              <w:jc w:val="left"/>
            </w:pPr>
            <w:r>
              <w:rPr>
                <w:sz w:val="15"/>
              </w:rPr>
              <w:t xml:space="preserve">25</w:t>
            </w:r>
          </w:p>
        </w:tc>
        <w:tc>
          <w:tcPr>
            <w:tcW w:type="dxa" w:w="2862"/>
          </w:tcPr>
          <w:p>
            <w:pPr>
              <w:pStyle w:val="Compact"/>
              <w:jc w:val="left"/>
            </w:pPr>
            <w:r>
              <w:rPr>
                <w:sz w:val="15"/>
              </w:rPr>
              <w:t xml:space="preserve">Delivery, accommodation</w:t>
            </w:r>
          </w:p>
        </w:tc>
        <w:tc>
          <w:tcPr>
            <w:tcW w:type="dxa" w:w="3577"/>
          </w:tcPr>
          <w:p>
            <w:pPr>
              <w:pStyle w:val="Compact"/>
              <w:jc w:val="left"/>
            </w:pPr>
            <w:r>
              <w:rPr>
                <w:sz w:val="15"/>
              </w:rPr>
              <w:t xml:space="preserve">Eligibility status, No</w:t>
            </w:r>
          </w:p>
        </w:tc>
        <w:tc>
          <w:tcPr>
            <w:tcW w:type="dxa" w:w="4292"/>
          </w:tcPr>
          <w:p>
            <w:pPr>
              <w:pStyle w:val="Compact"/>
              <w:jc w:val="left"/>
            </w:pPr>
            <w:r>
              <w:rPr>
                <w:sz w:val="15"/>
              </w:rPr>
              <w:t xml:space="preserve">Direct, Not scale-based</w:t>
            </w:r>
          </w:p>
        </w:tc>
        <w:tc>
          <w:tcPr>
            <w:tcW w:type="dxa" w:w="3577"/>
          </w:tcPr>
          <w:p>
            <w:pPr>
              <w:pStyle w:val="Compact"/>
              <w:jc w:val="left"/>
            </w:pPr>
            <w:r>
              <w:rPr>
                <w:sz w:val="15"/>
              </w:rPr>
              <w:t xml:space="preserve">Second coder’s codes: Article 12(3) grants a land-rent exemption, and the ratios are proportional</w:t>
            </w:r>
          </w:p>
        </w:tc>
      </w:tr>
      <w:tr>
        <w:tc>
          <w:tcPr>
            <w:tcW w:type="dxa" w:w="715"/>
          </w:tcPr>
          <w:p>
            <w:pPr>
              <w:pStyle w:val="Compact"/>
              <w:jc w:val="left"/>
            </w:pPr>
            <w:r>
              <w:rPr>
                <w:sz w:val="15"/>
              </w:rPr>
              <w:t xml:space="preserve">26</w:t>
            </w:r>
          </w:p>
        </w:tc>
        <w:tc>
          <w:tcPr>
            <w:tcW w:type="dxa" w:w="2862"/>
          </w:tcPr>
          <w:p>
            <w:pPr>
              <w:pStyle w:val="Compact"/>
              <w:jc w:val="left"/>
            </w:pPr>
            <w:r>
              <w:rPr>
                <w:sz w:val="15"/>
              </w:rPr>
              <w:t xml:space="preserve">Accommodation</w:t>
            </w:r>
          </w:p>
        </w:tc>
        <w:tc>
          <w:tcPr>
            <w:tcW w:type="dxa" w:w="3577"/>
          </w:tcPr>
          <w:p>
            <w:pPr>
              <w:pStyle w:val="Compact"/>
              <w:jc w:val="left"/>
            </w:pPr>
            <w:r>
              <w:rPr>
                <w:sz w:val="15"/>
              </w:rPr>
              <w:t xml:space="preserve">No</w:t>
            </w:r>
          </w:p>
        </w:tc>
        <w:tc>
          <w:tcPr>
            <w:tcW w:type="dxa" w:w="4292"/>
          </w:tcPr>
          <w:p>
            <w:pPr>
              <w:pStyle w:val="Compact"/>
              <w:jc w:val="left"/>
            </w:pPr>
            <w:r>
              <w:rPr>
                <w:sz w:val="15"/>
              </w:rPr>
              <w:t xml:space="preserve">Not scale-based</w:t>
            </w:r>
          </w:p>
        </w:tc>
        <w:tc>
          <w:tcPr>
            <w:tcW w:type="dxa" w:w="3577"/>
          </w:tcPr>
          <w:p>
            <w:pPr>
              <w:pStyle w:val="Compact"/>
              <w:jc w:val="left"/>
            </w:pPr>
            <w:r>
              <w:rPr>
                <w:sz w:val="15"/>
              </w:rPr>
              <w:t xml:space="preserve">No kept: the ratios are tiered by total capital and so scale-linked</w:t>
            </w:r>
          </w:p>
        </w:tc>
      </w:tr>
      <w:tr>
        <w:tc>
          <w:tcPr>
            <w:tcW w:type="dxa" w:w="715"/>
          </w:tcPr>
          <w:p>
            <w:pPr>
              <w:pStyle w:val="Compact"/>
              <w:jc w:val="left"/>
            </w:pPr>
            <w:r>
              <w:rPr>
                <w:sz w:val="15"/>
              </w:rPr>
              <w:t xml:space="preserve">27</w:t>
            </w:r>
          </w:p>
        </w:tc>
        <w:tc>
          <w:tcPr>
            <w:tcW w:type="dxa" w:w="2862"/>
          </w:tcPr>
          <w:p>
            <w:pPr>
              <w:pStyle w:val="Compact"/>
              <w:jc w:val="left"/>
            </w:pPr>
            <w:r>
              <w:rPr>
                <w:sz w:val="15"/>
              </w:rPr>
              <w:t xml:space="preserve">Layer</w:t>
            </w:r>
          </w:p>
        </w:tc>
        <w:tc>
          <w:tcPr>
            <w:tcW w:type="dxa" w:w="3577"/>
          </w:tcPr>
          <w:p>
            <w:pPr>
              <w:pStyle w:val="Compact"/>
              <w:jc w:val="left"/>
            </w:pPr>
            <w:r>
              <w:rPr>
                <w:sz w:val="15"/>
              </w:rPr>
              <w:t xml:space="preserve">(i) and (ii)</w:t>
            </w:r>
          </w:p>
        </w:tc>
        <w:tc>
          <w:tcPr>
            <w:tcW w:type="dxa" w:w="4292"/>
          </w:tcPr>
          <w:p>
            <w:pPr>
              <w:pStyle w:val="Compact"/>
              <w:jc w:val="left"/>
            </w:pPr>
            <w:r>
              <w:rPr>
                <w:sz w:val="15"/>
              </w:rPr>
              <w:t xml:space="preserve">(i)</w:t>
            </w:r>
          </w:p>
        </w:tc>
        <w:tc>
          <w:tcPr>
            <w:tcW w:type="dxa" w:w="3577"/>
          </w:tcPr>
          <w:p>
            <w:pPr>
              <w:pStyle w:val="Compact"/>
              <w:jc w:val="left"/>
            </w:pPr>
            <w:r>
              <w:rPr>
                <w:sz w:val="15"/>
              </w:rPr>
              <w:t xml:space="preserve">(i) and (ii) kept: the entry lists software and hyperscalers together</w:t>
            </w:r>
          </w:p>
        </w:tc>
      </w:tr>
      <w:tr>
        <w:tc>
          <w:tcPr>
            <w:tcW w:type="dxa" w:w="715"/>
          </w:tcPr>
          <w:p>
            <w:pPr>
              <w:pStyle w:val="Compact"/>
              <w:jc w:val="left"/>
            </w:pPr>
            <w:r>
              <w:rPr>
                <w:sz w:val="15"/>
              </w:rPr>
              <w:t xml:space="preserve">27, 28, 29</w:t>
            </w:r>
          </w:p>
        </w:tc>
        <w:tc>
          <w:tcPr>
            <w:tcW w:type="dxa" w:w="2862"/>
          </w:tcPr>
          <w:p>
            <w:pPr>
              <w:pStyle w:val="Compact"/>
              <w:jc w:val="left"/>
            </w:pPr>
            <w:r>
              <w:rPr>
                <w:sz w:val="15"/>
              </w:rPr>
              <w:t xml:space="preserve">Delivery</w:t>
            </w:r>
          </w:p>
        </w:tc>
        <w:tc>
          <w:tcPr>
            <w:tcW w:type="dxa" w:w="3577"/>
          </w:tcPr>
          <w:p>
            <w:pPr>
              <w:pStyle w:val="Compact"/>
              <w:jc w:val="left"/>
            </w:pPr>
            <w:r>
              <w:rPr>
                <w:sz w:val="15"/>
              </w:rPr>
              <w:t xml:space="preserve">Indirect</w:t>
            </w:r>
          </w:p>
        </w:tc>
        <w:tc>
          <w:tcPr>
            <w:tcW w:type="dxa" w:w="4292"/>
          </w:tcPr>
          <w:p>
            <w:pPr>
              <w:pStyle w:val="Compact"/>
              <w:jc w:val="left"/>
            </w:pPr>
            <w:r>
              <w:rPr>
                <w:sz w:val="15"/>
              </w:rPr>
              <w:t xml:space="preserve">Eligibility status</w:t>
            </w:r>
          </w:p>
        </w:tc>
        <w:tc>
          <w:tcPr>
            <w:tcW w:type="dxa" w:w="3577"/>
          </w:tcPr>
          <w:p>
            <w:pPr>
              <w:pStyle w:val="Compact"/>
              <w:jc w:val="left"/>
            </w:pPr>
            <w:r>
              <w:rPr>
                <w:sz w:val="15"/>
              </w:rPr>
              <w:t xml:space="preserve">Eligibility status: the listing confers eligibility and benefits follow by tier</w:t>
            </w:r>
          </w:p>
        </w:tc>
      </w:tr>
    </w:tbl>
    <w:p>
      <w:pPr>
        <w:pStyle w:val="BodyText"/>
      </w:pPr>
      <w:r>
        <w:t xml:space="preserve">The coded sheets of both coders are in the replication files (</w:t>
      </w:r>
      <w:r>
        <w:rPr>
          <w:rStyle w:val="VerbatimChar"/>
        </w:rPr>
        <w:t xml:space="preserve">09a_second_coder_codes.csv</w:t>
      </w:r>
      <w:r>
        <w:t xml:space="preserve">). The second coder also drew attention to provisions that the first coder had summarised thinly: annual claim and performance-metric obligations under the Philippine rules (row 18), the Philippine annual capital and export test for high-value enterprises (row 19), the Thai Guide’s sub-committee approval for data centres (row 22) and the Vietnamese land-rent exemption (row 25). These are now in Table S1.</w:t>
      </w:r>
    </w:p>
    <w:bookmarkEnd w:id="31"/>
    <w:bookmarkStart w:id="34" w:name="X671560f4620e558f5a3d83e896353003c3e5377"/>
    <w:p>
      <w:pPr>
        <w:pStyle w:val="Heading2"/>
      </w:pPr>
      <w:r>
        <w:t xml:space="preserve">Table S7. Entry-barrier index: scoring and results</w:t>
      </w:r>
    </w:p>
    <w:p>
      <w:pPr>
        <w:pStyle w:val="FirstParagraph"/>
      </w:pPr>
      <w:r>
        <w:t xml:space="preserve">The index scores 11 entry routes on four dimensions, using rules fixed before the outcome data were analysed. Capital barrier: the base-10 logarithm of the capital threshold over US$0.28 million (capital to host one eight-accelerator server), divided by three and bounded between 0 and 1. Compliance friction: the number of fixed-cost obligations among five (external certification; external audit at own cost; mandated certified or third-party location; annual report with inspection; application documentation and annual claim), capped at three and divided by three. Vintage barrier: 0 with an explicit new-firm accommodation, 1 if eligibility presupposes prior revenue, 0.5 otherwise. Delivery: 1 for indirect support only, 0.5 for both, 0 for direct only. Route inputs and the Supplementary Table S1 rows behind them are in</w:t>
      </w:r>
      <w:r>
        <w:t xml:space="preserve"> </w:t>
      </w:r>
      <w:r>
        <w:rPr>
          <w:rStyle w:val="VerbatimChar"/>
        </w:rPr>
        <w:t xml:space="preserve">routes.csv</w:t>
      </w:r>
      <w:r>
        <w:t xml:space="preserve"> </w:t>
      </w:r>
      <w:r>
        <w:t xml:space="preserve">and</w:t>
      </w:r>
      <w:r>
        <w:t xml:space="preserve"> </w:t>
      </w:r>
      <w:r>
        <w:rPr>
          <w:rStyle w:val="VerbatimChar"/>
        </w:rPr>
        <w:t xml:space="preserve">build_index.py</w:t>
      </w:r>
      <w:r>
        <w:t xml:space="preserve">.</w:t>
      </w:r>
    </w:p>
    <w:p>
      <w:pPr>
        <w:pStyle w:val="BodyText"/>
      </w:pPr>
      <w:r>
        <w:t xml:space="preserve">Scores run from 0 (open) to 1 (restrictive). Dimensions: CB capital barrier, CC compliance friction, VB vintage barrier, DL delivery that presupposes profit. Composite is the equal-weight mean.</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1502"/>
        <w:gridCol w:w="1502"/>
        <w:gridCol w:w="1502"/>
        <w:gridCol w:w="1502"/>
        <w:gridCol w:w="1502"/>
        <w:gridCol w:w="1502"/>
        <w:gridCol w:w="1502"/>
        <w:gridCol w:w="1502"/>
        <w:gridCol w:w="1502"/>
        <w:gridCol w:w="1502"/>
      </w:tblGrid>
      <w:tr>
        <w:trPr>
          <w:tblHeader w:val="true"/>
        </w:trPr>
        <w:tc>
          <w:tcPr>
            <w:tcW w:type="dxa" w:w="1502"/>
          </w:tcPr>
          <w:p>
            <w:pPr>
              <w:pStyle w:val="Compact"/>
              <w:jc w:val="left"/>
            </w:pPr>
            <w:r>
              <w:rPr>
                <w:b/>
                <w:sz w:val="15"/>
              </w:rPr>
              <w:t xml:space="preserve">Route</w:t>
            </w:r>
          </w:p>
        </w:tc>
        <w:tc>
          <w:tcPr>
            <w:tcW w:type="dxa" w:w="1502"/>
          </w:tcPr>
          <w:p>
            <w:pPr>
              <w:pStyle w:val="Compact"/>
              <w:jc w:val="left"/>
            </w:pPr>
            <w:r>
              <w:rPr>
                <w:b/>
                <w:sz w:val="15"/>
              </w:rPr>
              <w:t xml:space="preserve">Country</w:t>
            </w:r>
          </w:p>
        </w:tc>
        <w:tc>
          <w:tcPr>
            <w:tcW w:type="dxa" w:w="1502"/>
          </w:tcPr>
          <w:p>
            <w:pPr>
              <w:pStyle w:val="Compact"/>
              <w:jc w:val="left"/>
            </w:pPr>
            <w:r>
              <w:rPr>
                <w:b/>
                <w:sz w:val="15"/>
              </w:rPr>
              <w:t xml:space="preserve">Layer</w:t>
            </w:r>
          </w:p>
        </w:tc>
        <w:tc>
          <w:tcPr>
            <w:tcW w:type="dxa" w:w="1502"/>
          </w:tcPr>
          <w:p>
            <w:pPr>
              <w:pStyle w:val="Compact"/>
              <w:jc w:val="left"/>
            </w:pPr>
            <w:r>
              <w:rPr>
                <w:b/>
                <w:sz w:val="15"/>
              </w:rPr>
              <w:t xml:space="preserve">Threshold (US$m)</w:t>
            </w:r>
          </w:p>
        </w:tc>
        <w:tc>
          <w:tcPr>
            <w:tcW w:type="dxa" w:w="1502"/>
          </w:tcPr>
          <w:p>
            <w:pPr>
              <w:pStyle w:val="Compact"/>
              <w:jc w:val="left"/>
            </w:pPr>
            <w:r>
              <w:rPr>
                <w:b/>
                <w:sz w:val="15"/>
              </w:rPr>
              <w:t xml:space="preserve">CB</w:t>
            </w:r>
          </w:p>
        </w:tc>
        <w:tc>
          <w:tcPr>
            <w:tcW w:type="dxa" w:w="1502"/>
          </w:tcPr>
          <w:p>
            <w:pPr>
              <w:pStyle w:val="Compact"/>
              <w:jc w:val="left"/>
            </w:pPr>
            <w:r>
              <w:rPr>
                <w:b/>
                <w:sz w:val="15"/>
              </w:rPr>
              <w:t xml:space="preserve">CC</w:t>
            </w:r>
          </w:p>
        </w:tc>
        <w:tc>
          <w:tcPr>
            <w:tcW w:type="dxa" w:w="1502"/>
          </w:tcPr>
          <w:p>
            <w:pPr>
              <w:pStyle w:val="Compact"/>
              <w:jc w:val="left"/>
            </w:pPr>
            <w:r>
              <w:rPr>
                <w:b/>
                <w:sz w:val="15"/>
              </w:rPr>
              <w:t xml:space="preserve">VB</w:t>
            </w:r>
          </w:p>
        </w:tc>
        <w:tc>
          <w:tcPr>
            <w:tcW w:type="dxa" w:w="1502"/>
          </w:tcPr>
          <w:p>
            <w:pPr>
              <w:pStyle w:val="Compact"/>
              <w:jc w:val="left"/>
            </w:pPr>
            <w:r>
              <w:rPr>
                <w:b/>
                <w:sz w:val="15"/>
              </w:rPr>
              <w:t xml:space="preserve">DL</w:t>
            </w:r>
          </w:p>
        </w:tc>
        <w:tc>
          <w:tcPr>
            <w:tcW w:type="dxa" w:w="1502"/>
          </w:tcPr>
          <w:p>
            <w:pPr>
              <w:pStyle w:val="Compact"/>
              <w:jc w:val="left"/>
            </w:pPr>
            <w:r>
              <w:rPr>
                <w:b/>
                <w:sz w:val="15"/>
              </w:rPr>
              <w:t xml:space="preserve">Composite</w:t>
            </w:r>
          </w:p>
        </w:tc>
        <w:tc>
          <w:tcPr>
            <w:tcW w:type="dxa" w:w="1502"/>
          </w:tcPr>
          <w:p>
            <w:pPr>
              <w:pStyle w:val="Compact"/>
              <w:jc w:val="left"/>
            </w:pPr>
            <w:r>
              <w:rPr>
                <w:b/>
                <w:sz w:val="15"/>
              </w:rPr>
              <w:t xml:space="preserve">Composite, viable-fleet capital</w:t>
            </w:r>
          </w:p>
        </w:tc>
      </w:tr>
      <w:tr>
        <w:tc>
          <w:tcPr>
            <w:tcW w:type="dxa" w:w="1502"/>
          </w:tcPr>
          <w:p>
            <w:pPr>
              <w:pStyle w:val="Compact"/>
              <w:jc w:val="left"/>
            </w:pPr>
            <w:r>
              <w:rPr>
                <w:sz w:val="15"/>
              </w:rPr>
              <w:t xml:space="preserve">TH-SW</w:t>
            </w:r>
          </w:p>
        </w:tc>
        <w:tc>
          <w:tcPr>
            <w:tcW w:type="dxa" w:w="1502"/>
          </w:tcPr>
          <w:p>
            <w:pPr>
              <w:pStyle w:val="Compact"/>
              <w:jc w:val="left"/>
            </w:pPr>
            <w:r>
              <w:rPr>
                <w:sz w:val="15"/>
              </w:rPr>
              <w:t xml:space="preserve">Thailand</w:t>
            </w:r>
          </w:p>
        </w:tc>
        <w:tc>
          <w:tcPr>
            <w:tcW w:type="dxa" w:w="1502"/>
          </w:tcPr>
          <w:p>
            <w:pPr>
              <w:pStyle w:val="Compact"/>
              <w:jc w:val="left"/>
            </w:pPr>
            <w:r>
              <w:rPr>
                <w:sz w:val="15"/>
              </w:rPr>
              <w:t xml:space="preserve">(i)</w:t>
            </w:r>
          </w:p>
        </w:tc>
        <w:tc>
          <w:tcPr>
            <w:tcW w:type="dxa" w:w="1502"/>
          </w:tcPr>
          <w:p>
            <w:pPr>
              <w:pStyle w:val="Compact"/>
              <w:jc w:val="left"/>
            </w:pPr>
            <w:r>
              <w:rPr>
                <w:sz w:val="15"/>
              </w:rPr>
              <w:t xml:space="preserve">0.042</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0.38</w:t>
            </w:r>
          </w:p>
        </w:tc>
        <w:tc>
          <w:tcPr>
            <w:tcW w:type="dxa" w:w="1502"/>
          </w:tcPr>
          <w:p>
            <w:pPr>
              <w:pStyle w:val="Compact"/>
              <w:jc w:val="left"/>
            </w:pPr>
            <w:r>
              <w:rPr>
                <w:sz w:val="15"/>
              </w:rPr>
              <w:t xml:space="preserve">0.38</w:t>
            </w:r>
          </w:p>
        </w:tc>
      </w:tr>
      <w:tr>
        <w:tc>
          <w:tcPr>
            <w:tcW w:type="dxa" w:w="1502"/>
          </w:tcPr>
          <w:p>
            <w:pPr>
              <w:pStyle w:val="Compact"/>
              <w:jc w:val="left"/>
            </w:pPr>
            <w:r>
              <w:rPr>
                <w:sz w:val="15"/>
              </w:rPr>
              <w:t xml:space="preserve">TH-CLOUD</w:t>
            </w:r>
          </w:p>
        </w:tc>
        <w:tc>
          <w:tcPr>
            <w:tcW w:type="dxa" w:w="1502"/>
          </w:tcPr>
          <w:p>
            <w:pPr>
              <w:pStyle w:val="Compact"/>
              <w:jc w:val="left"/>
            </w:pPr>
            <w:r>
              <w:rPr>
                <w:sz w:val="15"/>
              </w:rPr>
              <w:t xml:space="preserve">Thailand</w:t>
            </w:r>
          </w:p>
        </w:tc>
        <w:tc>
          <w:tcPr>
            <w:tcW w:type="dxa" w:w="1502"/>
          </w:tcPr>
          <w:p>
            <w:pPr>
              <w:pStyle w:val="Compact"/>
              <w:jc w:val="left"/>
            </w:pPr>
            <w:r>
              <w:rPr>
                <w:sz w:val="15"/>
              </w:rPr>
              <w:t xml:space="preserve">(ii)</w:t>
            </w:r>
          </w:p>
        </w:tc>
        <w:tc>
          <w:tcPr>
            <w:tcW w:type="dxa" w:w="1502"/>
          </w:tcPr>
          <w:p>
            <w:pPr>
              <w:pStyle w:val="Compact"/>
              <w:jc w:val="left"/>
            </w:pPr>
            <w:r>
              <w:rPr>
                <w:sz w:val="15"/>
              </w:rPr>
              <w:t xml:space="preserve">none</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0.67</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0.54</w:t>
            </w:r>
          </w:p>
        </w:tc>
        <w:tc>
          <w:tcPr>
            <w:tcW w:type="dxa" w:w="1502"/>
          </w:tcPr>
          <w:p>
            <w:pPr>
              <w:pStyle w:val="Compact"/>
              <w:jc w:val="left"/>
            </w:pPr>
            <w:r>
              <w:rPr>
                <w:sz w:val="15"/>
              </w:rPr>
              <w:t xml:space="preserve">0.54</w:t>
            </w:r>
          </w:p>
        </w:tc>
      </w:tr>
      <w:tr>
        <w:tc>
          <w:tcPr>
            <w:tcW w:type="dxa" w:w="1502"/>
          </w:tcPr>
          <w:p>
            <w:pPr>
              <w:pStyle w:val="Compact"/>
              <w:jc w:val="left"/>
            </w:pPr>
            <w:r>
              <w:rPr>
                <w:sz w:val="15"/>
              </w:rPr>
              <w:t xml:space="preserve">TH-GPU</w:t>
            </w:r>
          </w:p>
        </w:tc>
        <w:tc>
          <w:tcPr>
            <w:tcW w:type="dxa" w:w="1502"/>
          </w:tcPr>
          <w:p>
            <w:pPr>
              <w:pStyle w:val="Compact"/>
              <w:jc w:val="left"/>
            </w:pPr>
            <w:r>
              <w:rPr>
                <w:sz w:val="15"/>
              </w:rPr>
              <w:t xml:space="preserve">Thailand</w:t>
            </w:r>
          </w:p>
        </w:tc>
        <w:tc>
          <w:tcPr>
            <w:tcW w:type="dxa" w:w="1502"/>
          </w:tcPr>
          <w:p>
            <w:pPr>
              <w:pStyle w:val="Compact"/>
              <w:jc w:val="left"/>
            </w:pPr>
            <w:r>
              <w:rPr>
                <w:sz w:val="15"/>
              </w:rPr>
              <w:t xml:space="preserve">(ii)</w:t>
            </w:r>
          </w:p>
        </w:tc>
        <w:tc>
          <w:tcPr>
            <w:tcW w:type="dxa" w:w="1502"/>
          </w:tcPr>
          <w:p>
            <w:pPr>
              <w:pStyle w:val="Compact"/>
              <w:jc w:val="left"/>
            </w:pPr>
            <w:r>
              <w:rPr>
                <w:sz w:val="15"/>
              </w:rPr>
              <w:t xml:space="preserve">140.0</w:t>
            </w:r>
          </w:p>
        </w:tc>
        <w:tc>
          <w:tcPr>
            <w:tcW w:type="dxa" w:w="1502"/>
          </w:tcPr>
          <w:p>
            <w:pPr>
              <w:pStyle w:val="Compact"/>
              <w:jc w:val="left"/>
            </w:pPr>
            <w:r>
              <w:rPr>
                <w:sz w:val="15"/>
              </w:rPr>
              <w:t xml:space="preserve">0.90</w:t>
            </w:r>
          </w:p>
        </w:tc>
        <w:tc>
          <w:tcPr>
            <w:tcW w:type="dxa" w:w="1502"/>
          </w:tcPr>
          <w:p>
            <w:pPr>
              <w:pStyle w:val="Compact"/>
              <w:jc w:val="left"/>
            </w:pPr>
            <w:r>
              <w:rPr>
                <w:sz w:val="15"/>
              </w:rPr>
              <w:t xml:space="preserve">0.33</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0.68</w:t>
            </w:r>
          </w:p>
        </w:tc>
        <w:tc>
          <w:tcPr>
            <w:tcW w:type="dxa" w:w="1502"/>
          </w:tcPr>
          <w:p>
            <w:pPr>
              <w:pStyle w:val="Compact"/>
              <w:jc w:val="left"/>
            </w:pPr>
            <w:r>
              <w:rPr>
                <w:sz w:val="15"/>
              </w:rPr>
              <w:t xml:space="preserve">0.51</w:t>
            </w:r>
          </w:p>
        </w:tc>
      </w:tr>
      <w:tr>
        <w:tc>
          <w:tcPr>
            <w:tcW w:type="dxa" w:w="1502"/>
          </w:tcPr>
          <w:p>
            <w:pPr>
              <w:pStyle w:val="Compact"/>
              <w:jc w:val="left"/>
            </w:pPr>
            <w:r>
              <w:rPr>
                <w:sz w:val="15"/>
              </w:rPr>
              <w:t xml:space="preserve">TH-DC</w:t>
            </w:r>
          </w:p>
        </w:tc>
        <w:tc>
          <w:tcPr>
            <w:tcW w:type="dxa" w:w="1502"/>
          </w:tcPr>
          <w:p>
            <w:pPr>
              <w:pStyle w:val="Compact"/>
              <w:jc w:val="left"/>
            </w:pPr>
            <w:r>
              <w:rPr>
                <w:sz w:val="15"/>
              </w:rPr>
              <w:t xml:space="preserve">Thailand</w:t>
            </w:r>
          </w:p>
        </w:tc>
        <w:tc>
          <w:tcPr>
            <w:tcW w:type="dxa" w:w="1502"/>
          </w:tcPr>
          <w:p>
            <w:pPr>
              <w:pStyle w:val="Compact"/>
              <w:jc w:val="left"/>
            </w:pPr>
            <w:r>
              <w:rPr>
                <w:sz w:val="15"/>
              </w:rPr>
              <w:t xml:space="preserve">(iii)</w:t>
            </w:r>
          </w:p>
        </w:tc>
        <w:tc>
          <w:tcPr>
            <w:tcW w:type="dxa" w:w="1502"/>
          </w:tcPr>
          <w:p>
            <w:pPr>
              <w:pStyle w:val="Compact"/>
              <w:jc w:val="left"/>
            </w:pPr>
            <w:r>
              <w:rPr>
                <w:sz w:val="15"/>
              </w:rPr>
              <w:t xml:space="preserve">40.3</w:t>
            </w:r>
          </w:p>
        </w:tc>
        <w:tc>
          <w:tcPr>
            <w:tcW w:type="dxa" w:w="1502"/>
          </w:tcPr>
          <w:p>
            <w:pPr>
              <w:pStyle w:val="Compact"/>
              <w:jc w:val="left"/>
            </w:pPr>
            <w:r>
              <w:rPr>
                <w:sz w:val="15"/>
              </w:rPr>
              <w:t xml:space="preserve">0.72</w:t>
            </w:r>
          </w:p>
        </w:tc>
        <w:tc>
          <w:tcPr>
            <w:tcW w:type="dxa" w:w="1502"/>
          </w:tcPr>
          <w:p>
            <w:pPr>
              <w:pStyle w:val="Compact"/>
              <w:jc w:val="left"/>
            </w:pPr>
            <w:r>
              <w:rPr>
                <w:sz w:val="15"/>
              </w:rPr>
              <w:t xml:space="preserve">0.33</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0.64</w:t>
            </w:r>
          </w:p>
        </w:tc>
        <w:tc>
          <w:tcPr>
            <w:tcW w:type="dxa" w:w="1502"/>
          </w:tcPr>
          <w:p>
            <w:pPr>
              <w:pStyle w:val="Compact"/>
              <w:jc w:val="left"/>
            </w:pPr>
            <w:r>
              <w:rPr>
                <w:sz w:val="15"/>
              </w:rPr>
              <w:t xml:space="preserve">0.47</w:t>
            </w:r>
          </w:p>
        </w:tc>
      </w:tr>
      <w:tr>
        <w:tc>
          <w:tcPr>
            <w:tcW w:type="dxa" w:w="1502"/>
          </w:tcPr>
          <w:p>
            <w:pPr>
              <w:pStyle w:val="Compact"/>
              <w:jc w:val="left"/>
            </w:pPr>
            <w:r>
              <w:rPr>
                <w:sz w:val="15"/>
              </w:rPr>
              <w:t xml:space="preserve">VN-START</w:t>
            </w:r>
          </w:p>
        </w:tc>
        <w:tc>
          <w:tcPr>
            <w:tcW w:type="dxa" w:w="1502"/>
          </w:tcPr>
          <w:p>
            <w:pPr>
              <w:pStyle w:val="Compact"/>
              <w:jc w:val="left"/>
            </w:pPr>
            <w:r>
              <w:rPr>
                <w:sz w:val="15"/>
              </w:rPr>
              <w:t xml:space="preserve">Viet Nam</w:t>
            </w:r>
          </w:p>
        </w:tc>
        <w:tc>
          <w:tcPr>
            <w:tcW w:type="dxa" w:w="1502"/>
          </w:tcPr>
          <w:p>
            <w:pPr>
              <w:pStyle w:val="Compact"/>
              <w:jc w:val="left"/>
            </w:pPr>
            <w:r>
              <w:rPr>
                <w:sz w:val="15"/>
              </w:rPr>
              <w:t xml:space="preserve">(i)</w:t>
            </w:r>
          </w:p>
        </w:tc>
        <w:tc>
          <w:tcPr>
            <w:tcW w:type="dxa" w:w="1502"/>
          </w:tcPr>
          <w:p>
            <w:pPr>
              <w:pStyle w:val="Compact"/>
              <w:jc w:val="left"/>
            </w:pPr>
            <w:r>
              <w:rPr>
                <w:sz w:val="15"/>
              </w:rPr>
              <w:t xml:space="preserve">none</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0.33</w:t>
            </w:r>
          </w:p>
        </w:tc>
        <w:tc>
          <w:tcPr>
            <w:tcW w:type="dxa" w:w="1502"/>
          </w:tcPr>
          <w:p>
            <w:pPr>
              <w:pStyle w:val="Compact"/>
              <w:jc w:val="left"/>
            </w:pPr>
            <w:r>
              <w:rPr>
                <w:sz w:val="15"/>
              </w:rPr>
              <w:t xml:space="preserve">0.0</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0.21</w:t>
            </w:r>
          </w:p>
        </w:tc>
        <w:tc>
          <w:tcPr>
            <w:tcW w:type="dxa" w:w="1502"/>
          </w:tcPr>
          <w:p>
            <w:pPr>
              <w:pStyle w:val="Compact"/>
              <w:jc w:val="left"/>
            </w:pPr>
            <w:r>
              <w:rPr>
                <w:sz w:val="15"/>
              </w:rPr>
              <w:t xml:space="preserve">0.21</w:t>
            </w:r>
          </w:p>
        </w:tc>
      </w:tr>
      <w:tr>
        <w:tc>
          <w:tcPr>
            <w:tcW w:type="dxa" w:w="1502"/>
          </w:tcPr>
          <w:p>
            <w:pPr>
              <w:pStyle w:val="Compact"/>
              <w:jc w:val="left"/>
            </w:pPr>
            <w:r>
              <w:rPr>
                <w:sz w:val="15"/>
              </w:rPr>
              <w:t xml:space="preserve">VN-CLOUD</w:t>
            </w:r>
          </w:p>
        </w:tc>
        <w:tc>
          <w:tcPr>
            <w:tcW w:type="dxa" w:w="1502"/>
          </w:tcPr>
          <w:p>
            <w:pPr>
              <w:pStyle w:val="Compact"/>
              <w:jc w:val="left"/>
            </w:pPr>
            <w:r>
              <w:rPr>
                <w:sz w:val="15"/>
              </w:rPr>
              <w:t xml:space="preserve">Viet Nam</w:t>
            </w:r>
          </w:p>
        </w:tc>
        <w:tc>
          <w:tcPr>
            <w:tcW w:type="dxa" w:w="1502"/>
          </w:tcPr>
          <w:p>
            <w:pPr>
              <w:pStyle w:val="Compact"/>
              <w:jc w:val="left"/>
            </w:pPr>
            <w:r>
              <w:rPr>
                <w:sz w:val="15"/>
              </w:rPr>
              <w:t xml:space="preserve">(ii)</w:t>
            </w:r>
          </w:p>
        </w:tc>
        <w:tc>
          <w:tcPr>
            <w:tcW w:type="dxa" w:w="1502"/>
          </w:tcPr>
          <w:p>
            <w:pPr>
              <w:pStyle w:val="Compact"/>
              <w:jc w:val="left"/>
            </w:pPr>
            <w:r>
              <w:rPr>
                <w:sz w:val="15"/>
              </w:rPr>
              <w:t xml:space="preserve">none</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0.33</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0.46</w:t>
            </w:r>
          </w:p>
        </w:tc>
        <w:tc>
          <w:tcPr>
            <w:tcW w:type="dxa" w:w="1502"/>
          </w:tcPr>
          <w:p>
            <w:pPr>
              <w:pStyle w:val="Compact"/>
              <w:jc w:val="left"/>
            </w:pPr>
            <w:r>
              <w:rPr>
                <w:sz w:val="15"/>
              </w:rPr>
              <w:t xml:space="preserve">0.46</w:t>
            </w:r>
          </w:p>
        </w:tc>
      </w:tr>
      <w:tr>
        <w:tc>
          <w:tcPr>
            <w:tcW w:type="dxa" w:w="1502"/>
          </w:tcPr>
          <w:p>
            <w:pPr>
              <w:pStyle w:val="Compact"/>
              <w:jc w:val="left"/>
            </w:pPr>
            <w:r>
              <w:rPr>
                <w:sz w:val="15"/>
              </w:rPr>
              <w:t xml:space="preserve">MY-MD</w:t>
            </w:r>
          </w:p>
        </w:tc>
        <w:tc>
          <w:tcPr>
            <w:tcW w:type="dxa" w:w="1502"/>
          </w:tcPr>
          <w:p>
            <w:pPr>
              <w:pStyle w:val="Compact"/>
              <w:jc w:val="left"/>
            </w:pPr>
            <w:r>
              <w:rPr>
                <w:sz w:val="15"/>
              </w:rPr>
              <w:t xml:space="preserve">Malaysia</w:t>
            </w:r>
          </w:p>
        </w:tc>
        <w:tc>
          <w:tcPr>
            <w:tcW w:type="dxa" w:w="1502"/>
          </w:tcPr>
          <w:p>
            <w:pPr>
              <w:pStyle w:val="Compact"/>
              <w:jc w:val="left"/>
            </w:pPr>
            <w:r>
              <w:rPr>
                <w:sz w:val="15"/>
              </w:rPr>
              <w:t xml:space="preserve">(i)+(ii)</w:t>
            </w:r>
          </w:p>
        </w:tc>
        <w:tc>
          <w:tcPr>
            <w:tcW w:type="dxa" w:w="1502"/>
          </w:tcPr>
          <w:p>
            <w:pPr>
              <w:pStyle w:val="Compact"/>
              <w:jc w:val="left"/>
            </w:pPr>
            <w:r>
              <w:rPr>
                <w:sz w:val="15"/>
              </w:rPr>
              <w:t xml:space="preserve">0.011</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0.33</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0.46</w:t>
            </w:r>
          </w:p>
        </w:tc>
        <w:tc>
          <w:tcPr>
            <w:tcW w:type="dxa" w:w="1502"/>
          </w:tcPr>
          <w:p>
            <w:pPr>
              <w:pStyle w:val="Compact"/>
              <w:jc w:val="left"/>
            </w:pPr>
            <w:r>
              <w:rPr>
                <w:sz w:val="15"/>
              </w:rPr>
              <w:t xml:space="preserve">0.46</w:t>
            </w:r>
          </w:p>
        </w:tc>
      </w:tr>
      <w:tr>
        <w:tc>
          <w:tcPr>
            <w:tcW w:type="dxa" w:w="1502"/>
          </w:tcPr>
          <w:p>
            <w:pPr>
              <w:pStyle w:val="Compact"/>
              <w:jc w:val="left"/>
            </w:pPr>
            <w:r>
              <w:rPr>
                <w:sz w:val="15"/>
              </w:rPr>
              <w:t xml:space="preserve">MY-DESAC</w:t>
            </w:r>
          </w:p>
        </w:tc>
        <w:tc>
          <w:tcPr>
            <w:tcW w:type="dxa" w:w="1502"/>
          </w:tcPr>
          <w:p>
            <w:pPr>
              <w:pStyle w:val="Compact"/>
              <w:jc w:val="left"/>
            </w:pPr>
            <w:r>
              <w:rPr>
                <w:sz w:val="15"/>
              </w:rPr>
              <w:t xml:space="preserve">Malaysia</w:t>
            </w:r>
          </w:p>
        </w:tc>
        <w:tc>
          <w:tcPr>
            <w:tcW w:type="dxa" w:w="1502"/>
          </w:tcPr>
          <w:p>
            <w:pPr>
              <w:pStyle w:val="Compact"/>
              <w:jc w:val="left"/>
            </w:pPr>
            <w:r>
              <w:rPr>
                <w:sz w:val="15"/>
              </w:rPr>
              <w:t xml:space="preserve">(ii)+(iii)</w:t>
            </w:r>
          </w:p>
        </w:tc>
        <w:tc>
          <w:tcPr>
            <w:tcW w:type="dxa" w:w="1502"/>
          </w:tcPr>
          <w:p>
            <w:pPr>
              <w:pStyle w:val="Compact"/>
              <w:jc w:val="left"/>
            </w:pPr>
            <w:r>
              <w:rPr>
                <w:sz w:val="15"/>
              </w:rPr>
              <w:t xml:space="preserve">17.1</w:t>
            </w:r>
          </w:p>
        </w:tc>
        <w:tc>
          <w:tcPr>
            <w:tcW w:type="dxa" w:w="1502"/>
          </w:tcPr>
          <w:p>
            <w:pPr>
              <w:pStyle w:val="Compact"/>
              <w:jc w:val="left"/>
            </w:pPr>
            <w:r>
              <w:rPr>
                <w:sz w:val="15"/>
              </w:rPr>
              <w:t xml:space="preserve">0.59</w:t>
            </w:r>
          </w:p>
        </w:tc>
        <w:tc>
          <w:tcPr>
            <w:tcW w:type="dxa" w:w="1502"/>
          </w:tcPr>
          <w:p>
            <w:pPr>
              <w:pStyle w:val="Compact"/>
              <w:jc w:val="left"/>
            </w:pPr>
            <w:r>
              <w:rPr>
                <w:sz w:val="15"/>
              </w:rPr>
              <w:t xml:space="preserve">0.67</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0.69</w:t>
            </w:r>
          </w:p>
        </w:tc>
        <w:tc>
          <w:tcPr>
            <w:tcW w:type="dxa" w:w="1502"/>
          </w:tcPr>
          <w:p>
            <w:pPr>
              <w:pStyle w:val="Compact"/>
              <w:jc w:val="left"/>
            </w:pPr>
            <w:r>
              <w:rPr>
                <w:sz w:val="15"/>
              </w:rPr>
              <w:t xml:space="preserve">0.54</w:t>
            </w:r>
          </w:p>
        </w:tc>
      </w:tr>
      <w:tr>
        <w:tc>
          <w:tcPr>
            <w:tcW w:type="dxa" w:w="1502"/>
          </w:tcPr>
          <w:p>
            <w:pPr>
              <w:pStyle w:val="Compact"/>
              <w:jc w:val="left"/>
            </w:pPr>
            <w:r>
              <w:rPr>
                <w:sz w:val="15"/>
              </w:rPr>
              <w:t xml:space="preserve">PH-SW</w:t>
            </w:r>
          </w:p>
        </w:tc>
        <w:tc>
          <w:tcPr>
            <w:tcW w:type="dxa" w:w="1502"/>
          </w:tcPr>
          <w:p>
            <w:pPr>
              <w:pStyle w:val="Compact"/>
              <w:jc w:val="left"/>
            </w:pPr>
            <w:r>
              <w:rPr>
                <w:sz w:val="15"/>
              </w:rPr>
              <w:t xml:space="preserve">Philippines</w:t>
            </w:r>
          </w:p>
        </w:tc>
        <w:tc>
          <w:tcPr>
            <w:tcW w:type="dxa" w:w="1502"/>
          </w:tcPr>
          <w:p>
            <w:pPr>
              <w:pStyle w:val="Compact"/>
              <w:jc w:val="left"/>
            </w:pPr>
            <w:r>
              <w:rPr>
                <w:sz w:val="15"/>
              </w:rPr>
              <w:t xml:space="preserve">(i)+(ii)</w:t>
            </w:r>
          </w:p>
        </w:tc>
        <w:tc>
          <w:tcPr>
            <w:tcW w:type="dxa" w:w="1502"/>
          </w:tcPr>
          <w:p>
            <w:pPr>
              <w:pStyle w:val="Compact"/>
              <w:jc w:val="left"/>
            </w:pPr>
            <w:r>
              <w:rPr>
                <w:sz w:val="15"/>
              </w:rPr>
              <w:t xml:space="preserve">none</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0.67</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0.54</w:t>
            </w:r>
          </w:p>
        </w:tc>
        <w:tc>
          <w:tcPr>
            <w:tcW w:type="dxa" w:w="1502"/>
          </w:tcPr>
          <w:p>
            <w:pPr>
              <w:pStyle w:val="Compact"/>
              <w:jc w:val="left"/>
            </w:pPr>
            <w:r>
              <w:rPr>
                <w:sz w:val="15"/>
              </w:rPr>
              <w:t xml:space="preserve">0.54</w:t>
            </w:r>
          </w:p>
        </w:tc>
      </w:tr>
      <w:tr>
        <w:tc>
          <w:tcPr>
            <w:tcW w:type="dxa" w:w="1502"/>
          </w:tcPr>
          <w:p>
            <w:pPr>
              <w:pStyle w:val="Compact"/>
              <w:jc w:val="left"/>
            </w:pPr>
            <w:r>
              <w:rPr>
                <w:sz w:val="15"/>
              </w:rPr>
              <w:t xml:space="preserve">PH-AI</w:t>
            </w:r>
          </w:p>
        </w:tc>
        <w:tc>
          <w:tcPr>
            <w:tcW w:type="dxa" w:w="1502"/>
          </w:tcPr>
          <w:p>
            <w:pPr>
              <w:pStyle w:val="Compact"/>
              <w:jc w:val="left"/>
            </w:pPr>
            <w:r>
              <w:rPr>
                <w:sz w:val="15"/>
              </w:rPr>
              <w:t xml:space="preserve">Philippines</w:t>
            </w:r>
          </w:p>
        </w:tc>
        <w:tc>
          <w:tcPr>
            <w:tcW w:type="dxa" w:w="1502"/>
          </w:tcPr>
          <w:p>
            <w:pPr>
              <w:pStyle w:val="Compact"/>
              <w:jc w:val="left"/>
            </w:pPr>
            <w:r>
              <w:rPr>
                <w:sz w:val="15"/>
              </w:rPr>
              <w:t xml:space="preserve">(i)</w:t>
            </w:r>
          </w:p>
        </w:tc>
        <w:tc>
          <w:tcPr>
            <w:tcW w:type="dxa" w:w="1502"/>
          </w:tcPr>
          <w:p>
            <w:pPr>
              <w:pStyle w:val="Compact"/>
              <w:jc w:val="left"/>
            </w:pPr>
            <w:r>
              <w:rPr>
                <w:sz w:val="15"/>
              </w:rPr>
              <w:t xml:space="preserve">none</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0.67</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0.54</w:t>
            </w:r>
          </w:p>
        </w:tc>
        <w:tc>
          <w:tcPr>
            <w:tcW w:type="dxa" w:w="1502"/>
          </w:tcPr>
          <w:p>
            <w:pPr>
              <w:pStyle w:val="Compact"/>
              <w:jc w:val="left"/>
            </w:pPr>
            <w:r>
              <w:rPr>
                <w:sz w:val="15"/>
              </w:rPr>
              <w:t xml:space="preserve">0.54</w:t>
            </w:r>
          </w:p>
        </w:tc>
      </w:tr>
      <w:tr>
        <w:tc>
          <w:tcPr>
            <w:tcW w:type="dxa" w:w="1502"/>
          </w:tcPr>
          <w:p>
            <w:pPr>
              <w:pStyle w:val="Compact"/>
              <w:jc w:val="left"/>
            </w:pPr>
            <w:r>
              <w:rPr>
                <w:sz w:val="15"/>
              </w:rPr>
              <w:t xml:space="preserve">PH-DC</w:t>
            </w:r>
          </w:p>
        </w:tc>
        <w:tc>
          <w:tcPr>
            <w:tcW w:type="dxa" w:w="1502"/>
          </w:tcPr>
          <w:p>
            <w:pPr>
              <w:pStyle w:val="Compact"/>
              <w:jc w:val="left"/>
            </w:pPr>
            <w:r>
              <w:rPr>
                <w:sz w:val="15"/>
              </w:rPr>
              <w:t xml:space="preserve">Philippines</w:t>
            </w:r>
          </w:p>
        </w:tc>
        <w:tc>
          <w:tcPr>
            <w:tcW w:type="dxa" w:w="1502"/>
          </w:tcPr>
          <w:p>
            <w:pPr>
              <w:pStyle w:val="Compact"/>
              <w:jc w:val="left"/>
            </w:pPr>
            <w:r>
              <w:rPr>
                <w:sz w:val="15"/>
              </w:rPr>
              <w:t xml:space="preserve">(iii)</w:t>
            </w:r>
          </w:p>
        </w:tc>
        <w:tc>
          <w:tcPr>
            <w:tcW w:type="dxa" w:w="1502"/>
          </w:tcPr>
          <w:p>
            <w:pPr>
              <w:pStyle w:val="Compact"/>
              <w:jc w:val="left"/>
            </w:pPr>
            <w:r>
              <w:rPr>
                <w:sz w:val="15"/>
              </w:rPr>
              <w:t xml:space="preserve">none</w:t>
            </w:r>
          </w:p>
        </w:tc>
        <w:tc>
          <w:tcPr>
            <w:tcW w:type="dxa" w:w="1502"/>
          </w:tcPr>
          <w:p>
            <w:pPr>
              <w:pStyle w:val="Compact"/>
              <w:jc w:val="left"/>
            </w:pPr>
            <w:r>
              <w:rPr>
                <w:sz w:val="15"/>
              </w:rPr>
              <w:t xml:space="preserve">0.00</w:t>
            </w:r>
          </w:p>
        </w:tc>
        <w:tc>
          <w:tcPr>
            <w:tcW w:type="dxa" w:w="1502"/>
          </w:tcPr>
          <w:p>
            <w:pPr>
              <w:pStyle w:val="Compact"/>
              <w:jc w:val="left"/>
            </w:pPr>
            <w:r>
              <w:rPr>
                <w:sz w:val="15"/>
              </w:rPr>
              <w:t xml:space="preserve">0.67</w:t>
            </w:r>
          </w:p>
        </w:tc>
        <w:tc>
          <w:tcPr>
            <w:tcW w:type="dxa" w:w="1502"/>
          </w:tcPr>
          <w:p>
            <w:pPr>
              <w:pStyle w:val="Compact"/>
              <w:jc w:val="left"/>
            </w:pPr>
            <w:r>
              <w:rPr>
                <w:sz w:val="15"/>
              </w:rPr>
              <w:t xml:space="preserve">0.5</w:t>
            </w:r>
          </w:p>
        </w:tc>
        <w:tc>
          <w:tcPr>
            <w:tcW w:type="dxa" w:w="1502"/>
          </w:tcPr>
          <w:p>
            <w:pPr>
              <w:pStyle w:val="Compact"/>
              <w:jc w:val="left"/>
            </w:pPr>
            <w:r>
              <w:rPr>
                <w:sz w:val="15"/>
              </w:rPr>
              <w:t xml:space="preserve">1.0</w:t>
            </w:r>
          </w:p>
        </w:tc>
        <w:tc>
          <w:tcPr>
            <w:tcW w:type="dxa" w:w="1502"/>
          </w:tcPr>
          <w:p>
            <w:pPr>
              <w:pStyle w:val="Compact"/>
              <w:jc w:val="left"/>
            </w:pPr>
            <w:r>
              <w:rPr>
                <w:sz w:val="15"/>
              </w:rPr>
              <w:t xml:space="preserve">0.54</w:t>
            </w:r>
          </w:p>
        </w:tc>
        <w:tc>
          <w:tcPr>
            <w:tcW w:type="dxa" w:w="1502"/>
          </w:tcPr>
          <w:p>
            <w:pPr>
              <w:pStyle w:val="Compact"/>
              <w:jc w:val="left"/>
            </w:pPr>
            <w:r>
              <w:rPr>
                <w:sz w:val="15"/>
              </w:rPr>
              <w:t xml:space="preserve">0.54</w:t>
            </w:r>
          </w:p>
        </w:tc>
      </w:tr>
    </w:tbl>
    <w:bookmarkStart w:id="32" w:name="X5600d260aa4c52c84303b701de431682607bf5e"/>
    <w:p>
      <w:pPr>
        <w:pStyle w:val="Heading4"/>
      </w:pPr>
      <w:r>
        <w:t xml:space="preserve">Country compute-entry score (lowest composite among compute routes)</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5007"/>
        <w:gridCol w:w="5007"/>
        <w:gridCol w:w="5007"/>
      </w:tblGrid>
      <w:tr>
        <w:trPr>
          <w:tblHeader w:val="true"/>
        </w:trPr>
        <w:tc>
          <w:tcPr>
            <w:tcW w:type="dxa" w:w="5008"/>
          </w:tcPr>
          <w:p>
            <w:pPr>
              <w:pStyle w:val="Compact"/>
              <w:jc w:val="left"/>
            </w:pPr>
            <w:r>
              <w:rPr>
                <w:b/>
                <w:sz w:val="15"/>
              </w:rPr>
              <w:t xml:space="preserve">Country</w:t>
            </w:r>
          </w:p>
        </w:tc>
        <w:tc>
          <w:tcPr>
            <w:tcW w:type="dxa" w:w="5008"/>
          </w:tcPr>
          <w:p>
            <w:pPr>
              <w:pStyle w:val="Compact"/>
              <w:jc w:val="left"/>
            </w:pPr>
            <w:r>
              <w:rPr>
                <w:b/>
                <w:sz w:val="15"/>
              </w:rPr>
              <w:t xml:space="preserve">Entry score</w:t>
            </w:r>
          </w:p>
        </w:tc>
        <w:tc>
          <w:tcPr>
            <w:tcW w:type="dxa" w:w="5008"/>
          </w:tcPr>
          <w:p>
            <w:pPr>
              <w:pStyle w:val="Compact"/>
              <w:jc w:val="left"/>
            </w:pPr>
            <w:r>
              <w:rPr>
                <w:b/>
                <w:sz w:val="15"/>
              </w:rPr>
              <w:t xml:space="preserve">Facility-route score</w:t>
            </w:r>
          </w:p>
        </w:tc>
      </w:tr>
      <w:tr>
        <w:tc>
          <w:tcPr>
            <w:tcW w:type="dxa" w:w="5008"/>
          </w:tcPr>
          <w:p>
            <w:pPr>
              <w:pStyle w:val="Compact"/>
              <w:jc w:val="left"/>
            </w:pPr>
            <w:r>
              <w:rPr>
                <w:sz w:val="15"/>
              </w:rPr>
              <w:t xml:space="preserve">Malaysia</w:t>
            </w:r>
          </w:p>
        </w:tc>
        <w:tc>
          <w:tcPr>
            <w:tcW w:type="dxa" w:w="5008"/>
          </w:tcPr>
          <w:p>
            <w:pPr>
              <w:pStyle w:val="Compact"/>
              <w:jc w:val="left"/>
            </w:pPr>
            <w:r>
              <w:rPr>
                <w:sz w:val="15"/>
              </w:rPr>
              <w:t xml:space="preserve">0.46</w:t>
            </w:r>
          </w:p>
        </w:tc>
        <w:tc>
          <w:tcPr>
            <w:tcW w:type="dxa" w:w="5008"/>
          </w:tcPr>
          <w:p>
            <w:pPr>
              <w:pStyle w:val="Compact"/>
              <w:jc w:val="left"/>
            </w:pPr>
            <w:r>
              <w:rPr>
                <w:sz w:val="15"/>
              </w:rPr>
              <w:t xml:space="preserve">0.69</w:t>
            </w:r>
          </w:p>
        </w:tc>
      </w:tr>
      <w:tr>
        <w:tc>
          <w:tcPr>
            <w:tcW w:type="dxa" w:w="5008"/>
          </w:tcPr>
          <w:p>
            <w:pPr>
              <w:pStyle w:val="Compact"/>
              <w:jc w:val="left"/>
            </w:pPr>
            <w:r>
              <w:rPr>
                <w:sz w:val="15"/>
              </w:rPr>
              <w:t xml:space="preserve">Philippines</w:t>
            </w:r>
          </w:p>
        </w:tc>
        <w:tc>
          <w:tcPr>
            <w:tcW w:type="dxa" w:w="5008"/>
          </w:tcPr>
          <w:p>
            <w:pPr>
              <w:pStyle w:val="Compact"/>
              <w:jc w:val="left"/>
            </w:pPr>
            <w:r>
              <w:rPr>
                <w:sz w:val="15"/>
              </w:rPr>
              <w:t xml:space="preserve">0.54</w:t>
            </w:r>
          </w:p>
        </w:tc>
        <w:tc>
          <w:tcPr>
            <w:tcW w:type="dxa" w:w="5008"/>
          </w:tcPr>
          <w:p>
            <w:pPr>
              <w:pStyle w:val="Compact"/>
              <w:jc w:val="left"/>
            </w:pPr>
            <w:r>
              <w:rPr>
                <w:sz w:val="15"/>
              </w:rPr>
              <w:t xml:space="preserve">0.54</w:t>
            </w:r>
          </w:p>
        </w:tc>
      </w:tr>
      <w:tr>
        <w:tc>
          <w:tcPr>
            <w:tcW w:type="dxa" w:w="5008"/>
          </w:tcPr>
          <w:p>
            <w:pPr>
              <w:pStyle w:val="Compact"/>
              <w:jc w:val="left"/>
            </w:pPr>
            <w:r>
              <w:rPr>
                <w:sz w:val="15"/>
              </w:rPr>
              <w:t xml:space="preserve">Thailand</w:t>
            </w:r>
          </w:p>
        </w:tc>
        <w:tc>
          <w:tcPr>
            <w:tcW w:type="dxa" w:w="5008"/>
          </w:tcPr>
          <w:p>
            <w:pPr>
              <w:pStyle w:val="Compact"/>
              <w:jc w:val="left"/>
            </w:pPr>
            <w:r>
              <w:rPr>
                <w:sz w:val="15"/>
              </w:rPr>
              <w:t xml:space="preserve">0.54</w:t>
            </w:r>
          </w:p>
        </w:tc>
        <w:tc>
          <w:tcPr>
            <w:tcW w:type="dxa" w:w="5008"/>
          </w:tcPr>
          <w:p>
            <w:pPr>
              <w:pStyle w:val="Compact"/>
              <w:jc w:val="left"/>
            </w:pPr>
            <w:r>
              <w:rPr>
                <w:sz w:val="15"/>
              </w:rPr>
              <w:t xml:space="preserve">0.64</w:t>
            </w:r>
          </w:p>
        </w:tc>
      </w:tr>
      <w:tr>
        <w:tc>
          <w:tcPr>
            <w:tcW w:type="dxa" w:w="5008"/>
          </w:tcPr>
          <w:p>
            <w:pPr>
              <w:pStyle w:val="Compact"/>
              <w:jc w:val="left"/>
            </w:pPr>
            <w:r>
              <w:rPr>
                <w:sz w:val="15"/>
              </w:rPr>
              <w:t xml:space="preserve">Viet Nam</w:t>
            </w:r>
          </w:p>
        </w:tc>
        <w:tc>
          <w:tcPr>
            <w:tcW w:type="dxa" w:w="5008"/>
          </w:tcPr>
          <w:p>
            <w:pPr>
              <w:pStyle w:val="Compact"/>
              <w:jc w:val="left"/>
            </w:pPr>
            <w:r>
              <w:rPr>
                <w:sz w:val="15"/>
              </w:rPr>
              <w:t xml:space="preserve">0.46</w:t>
            </w:r>
          </w:p>
        </w:tc>
        <w:tc>
          <w:tcPr>
            <w:tcW w:type="dxa" w:w="5008"/>
          </w:tcPr>
          <w:p>
            <w:pPr>
              <w:pStyle w:val="Compact"/>
            </w:pPr>
          </w:p>
        </w:tc>
      </w:tr>
    </w:tbl>
    <w:bookmarkEnd w:id="32"/>
    <w:bookmarkStart w:id="33" w:name="X3b35960e408550bcf0b6e69c78419bba9b22f8e"/>
    <w:p>
      <w:pPr>
        <w:pStyle w:val="Heading4"/>
      </w:pPr>
      <w:r>
        <w:t xml:space="preserve">Sensitivity of the route ranking to weights</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1251"/>
        <w:gridCol w:w="1251"/>
        <w:gridCol w:w="1251"/>
        <w:gridCol w:w="1251"/>
        <w:gridCol w:w="1251"/>
        <w:gridCol w:w="1251"/>
        <w:gridCol w:w="1251"/>
        <w:gridCol w:w="1251"/>
        <w:gridCol w:w="1251"/>
        <w:gridCol w:w="1251"/>
        <w:gridCol w:w="1251"/>
        <w:gridCol w:w="1251"/>
      </w:tblGrid>
      <w:tr>
        <w:trPr>
          <w:tblHeader w:val="true"/>
        </w:trPr>
        <w:tc>
          <w:tcPr>
            <w:tcW w:type="dxa" w:w="1252"/>
          </w:tcPr>
          <w:p>
            <w:pPr>
              <w:pStyle w:val="Compact"/>
              <w:jc w:val="left"/>
            </w:pPr>
            <w:r>
              <w:rPr>
                <w:b/>
                <w:sz w:val="15"/>
              </w:rPr>
              <w:t xml:space="preserve">Weighting</w:t>
            </w:r>
          </w:p>
        </w:tc>
        <w:tc>
          <w:tcPr>
            <w:tcW w:type="dxa" w:w="1252"/>
          </w:tcPr>
          <w:p>
            <w:pPr>
              <w:pStyle w:val="Compact"/>
              <w:jc w:val="left"/>
            </w:pPr>
            <w:r>
              <w:rPr>
                <w:b/>
                <w:sz w:val="15"/>
              </w:rPr>
              <w:t xml:space="preserve">TH-SW</w:t>
            </w:r>
          </w:p>
        </w:tc>
        <w:tc>
          <w:tcPr>
            <w:tcW w:type="dxa" w:w="1252"/>
          </w:tcPr>
          <w:p>
            <w:pPr>
              <w:pStyle w:val="Compact"/>
              <w:jc w:val="left"/>
            </w:pPr>
            <w:r>
              <w:rPr>
                <w:b/>
                <w:sz w:val="15"/>
              </w:rPr>
              <w:t xml:space="preserve">TH-CLOUD</w:t>
            </w:r>
          </w:p>
        </w:tc>
        <w:tc>
          <w:tcPr>
            <w:tcW w:type="dxa" w:w="1252"/>
          </w:tcPr>
          <w:p>
            <w:pPr>
              <w:pStyle w:val="Compact"/>
              <w:jc w:val="left"/>
            </w:pPr>
            <w:r>
              <w:rPr>
                <w:b/>
                <w:sz w:val="15"/>
              </w:rPr>
              <w:t xml:space="preserve">TH-GPU</w:t>
            </w:r>
          </w:p>
        </w:tc>
        <w:tc>
          <w:tcPr>
            <w:tcW w:type="dxa" w:w="1252"/>
          </w:tcPr>
          <w:p>
            <w:pPr>
              <w:pStyle w:val="Compact"/>
              <w:jc w:val="left"/>
            </w:pPr>
            <w:r>
              <w:rPr>
                <w:b/>
                <w:sz w:val="15"/>
              </w:rPr>
              <w:t xml:space="preserve">TH-DC</w:t>
            </w:r>
          </w:p>
        </w:tc>
        <w:tc>
          <w:tcPr>
            <w:tcW w:type="dxa" w:w="1252"/>
          </w:tcPr>
          <w:p>
            <w:pPr>
              <w:pStyle w:val="Compact"/>
              <w:jc w:val="left"/>
            </w:pPr>
            <w:r>
              <w:rPr>
                <w:b/>
                <w:sz w:val="15"/>
              </w:rPr>
              <w:t xml:space="preserve">VN-START</w:t>
            </w:r>
          </w:p>
        </w:tc>
        <w:tc>
          <w:tcPr>
            <w:tcW w:type="dxa" w:w="1252"/>
          </w:tcPr>
          <w:p>
            <w:pPr>
              <w:pStyle w:val="Compact"/>
              <w:jc w:val="left"/>
            </w:pPr>
            <w:r>
              <w:rPr>
                <w:b/>
                <w:sz w:val="15"/>
              </w:rPr>
              <w:t xml:space="preserve">VN-CLOUD</w:t>
            </w:r>
          </w:p>
        </w:tc>
        <w:tc>
          <w:tcPr>
            <w:tcW w:type="dxa" w:w="1252"/>
          </w:tcPr>
          <w:p>
            <w:pPr>
              <w:pStyle w:val="Compact"/>
              <w:jc w:val="left"/>
            </w:pPr>
            <w:r>
              <w:rPr>
                <w:b/>
                <w:sz w:val="15"/>
              </w:rPr>
              <w:t xml:space="preserve">MY-MD</w:t>
            </w:r>
          </w:p>
        </w:tc>
        <w:tc>
          <w:tcPr>
            <w:tcW w:type="dxa" w:w="1252"/>
          </w:tcPr>
          <w:p>
            <w:pPr>
              <w:pStyle w:val="Compact"/>
              <w:jc w:val="left"/>
            </w:pPr>
            <w:r>
              <w:rPr>
                <w:b/>
                <w:sz w:val="15"/>
              </w:rPr>
              <w:t xml:space="preserve">MY-DESAC</w:t>
            </w:r>
          </w:p>
        </w:tc>
        <w:tc>
          <w:tcPr>
            <w:tcW w:type="dxa" w:w="1252"/>
          </w:tcPr>
          <w:p>
            <w:pPr>
              <w:pStyle w:val="Compact"/>
              <w:jc w:val="left"/>
            </w:pPr>
            <w:r>
              <w:rPr>
                <w:b/>
                <w:sz w:val="15"/>
              </w:rPr>
              <w:t xml:space="preserve">PH-SW</w:t>
            </w:r>
          </w:p>
        </w:tc>
        <w:tc>
          <w:tcPr>
            <w:tcW w:type="dxa" w:w="1252"/>
          </w:tcPr>
          <w:p>
            <w:pPr>
              <w:pStyle w:val="Compact"/>
              <w:jc w:val="left"/>
            </w:pPr>
            <w:r>
              <w:rPr>
                <w:b/>
                <w:sz w:val="15"/>
              </w:rPr>
              <w:t xml:space="preserve">PH-AI</w:t>
            </w:r>
          </w:p>
        </w:tc>
        <w:tc>
          <w:tcPr>
            <w:tcW w:type="dxa" w:w="1252"/>
          </w:tcPr>
          <w:p>
            <w:pPr>
              <w:pStyle w:val="Compact"/>
              <w:jc w:val="left"/>
            </w:pPr>
            <w:r>
              <w:rPr>
                <w:b/>
                <w:sz w:val="15"/>
              </w:rPr>
              <w:t xml:space="preserve">PH-DC</w:t>
            </w:r>
          </w:p>
        </w:tc>
      </w:tr>
      <w:tr>
        <w:tc>
          <w:tcPr>
            <w:tcW w:type="dxa" w:w="1252"/>
          </w:tcPr>
          <w:p>
            <w:pPr>
              <w:pStyle w:val="Compact"/>
              <w:jc w:val="left"/>
            </w:pPr>
            <w:r>
              <w:rPr>
                <w:sz w:val="15"/>
              </w:rPr>
              <w:t xml:space="preserve">equal (rho with equal weights 1.00)</w:t>
            </w:r>
          </w:p>
        </w:tc>
        <w:tc>
          <w:tcPr>
            <w:tcW w:type="dxa" w:w="1252"/>
          </w:tcPr>
          <w:p>
            <w:pPr>
              <w:pStyle w:val="Compact"/>
              <w:jc w:val="left"/>
            </w:pPr>
            <w:r>
              <w:rPr>
                <w:sz w:val="15"/>
              </w:rPr>
              <w:t xml:space="preserve">0.38</w:t>
            </w:r>
          </w:p>
        </w:tc>
        <w:tc>
          <w:tcPr>
            <w:tcW w:type="dxa" w:w="1252"/>
          </w:tcPr>
          <w:p>
            <w:pPr>
              <w:pStyle w:val="Compact"/>
              <w:jc w:val="left"/>
            </w:pPr>
            <w:r>
              <w:rPr>
                <w:sz w:val="15"/>
              </w:rPr>
              <w:t xml:space="preserve">0.54</w:t>
            </w:r>
          </w:p>
        </w:tc>
        <w:tc>
          <w:tcPr>
            <w:tcW w:type="dxa" w:w="1252"/>
          </w:tcPr>
          <w:p>
            <w:pPr>
              <w:pStyle w:val="Compact"/>
              <w:jc w:val="left"/>
            </w:pPr>
            <w:r>
              <w:rPr>
                <w:sz w:val="15"/>
              </w:rPr>
              <w:t xml:space="preserve">0.68</w:t>
            </w:r>
          </w:p>
        </w:tc>
        <w:tc>
          <w:tcPr>
            <w:tcW w:type="dxa" w:w="1252"/>
          </w:tcPr>
          <w:p>
            <w:pPr>
              <w:pStyle w:val="Compact"/>
              <w:jc w:val="left"/>
            </w:pPr>
            <w:r>
              <w:rPr>
                <w:sz w:val="15"/>
              </w:rPr>
              <w:t xml:space="preserve">0.64</w:t>
            </w:r>
          </w:p>
        </w:tc>
        <w:tc>
          <w:tcPr>
            <w:tcW w:type="dxa" w:w="1252"/>
          </w:tcPr>
          <w:p>
            <w:pPr>
              <w:pStyle w:val="Compact"/>
              <w:jc w:val="left"/>
            </w:pPr>
            <w:r>
              <w:rPr>
                <w:sz w:val="15"/>
              </w:rPr>
              <w:t xml:space="preserve">0.21</w:t>
            </w:r>
          </w:p>
        </w:tc>
        <w:tc>
          <w:tcPr>
            <w:tcW w:type="dxa" w:w="1252"/>
          </w:tcPr>
          <w:p>
            <w:pPr>
              <w:pStyle w:val="Compact"/>
              <w:jc w:val="left"/>
            </w:pPr>
            <w:r>
              <w:rPr>
                <w:sz w:val="15"/>
              </w:rPr>
              <w:t xml:space="preserve">0.46</w:t>
            </w:r>
          </w:p>
        </w:tc>
        <w:tc>
          <w:tcPr>
            <w:tcW w:type="dxa" w:w="1252"/>
          </w:tcPr>
          <w:p>
            <w:pPr>
              <w:pStyle w:val="Compact"/>
              <w:jc w:val="left"/>
            </w:pPr>
            <w:r>
              <w:rPr>
                <w:sz w:val="15"/>
              </w:rPr>
              <w:t xml:space="preserve">0.46</w:t>
            </w:r>
          </w:p>
        </w:tc>
        <w:tc>
          <w:tcPr>
            <w:tcW w:type="dxa" w:w="1252"/>
          </w:tcPr>
          <w:p>
            <w:pPr>
              <w:pStyle w:val="Compact"/>
              <w:jc w:val="left"/>
            </w:pPr>
            <w:r>
              <w:rPr>
                <w:sz w:val="15"/>
              </w:rPr>
              <w:t xml:space="preserve">0.69</w:t>
            </w:r>
          </w:p>
        </w:tc>
        <w:tc>
          <w:tcPr>
            <w:tcW w:type="dxa" w:w="1252"/>
          </w:tcPr>
          <w:p>
            <w:pPr>
              <w:pStyle w:val="Compact"/>
              <w:jc w:val="left"/>
            </w:pPr>
            <w:r>
              <w:rPr>
                <w:sz w:val="15"/>
              </w:rPr>
              <w:t xml:space="preserve">0.54</w:t>
            </w:r>
          </w:p>
        </w:tc>
        <w:tc>
          <w:tcPr>
            <w:tcW w:type="dxa" w:w="1252"/>
          </w:tcPr>
          <w:p>
            <w:pPr>
              <w:pStyle w:val="Compact"/>
              <w:jc w:val="left"/>
            </w:pPr>
            <w:r>
              <w:rPr>
                <w:sz w:val="15"/>
              </w:rPr>
              <w:t xml:space="preserve">0.54</w:t>
            </w:r>
          </w:p>
        </w:tc>
        <w:tc>
          <w:tcPr>
            <w:tcW w:type="dxa" w:w="1252"/>
          </w:tcPr>
          <w:p>
            <w:pPr>
              <w:pStyle w:val="Compact"/>
              <w:jc w:val="left"/>
            </w:pPr>
            <w:r>
              <w:rPr>
                <w:sz w:val="15"/>
              </w:rPr>
              <w:t xml:space="preserve">0.54</w:t>
            </w:r>
          </w:p>
        </w:tc>
      </w:tr>
      <w:tr>
        <w:tc>
          <w:tcPr>
            <w:tcW w:type="dxa" w:w="1252"/>
          </w:tcPr>
          <w:p>
            <w:pPr>
              <w:pStyle w:val="Compact"/>
              <w:jc w:val="left"/>
            </w:pPr>
            <w:r>
              <w:rPr>
                <w:sz w:val="15"/>
              </w:rPr>
              <w:t xml:space="preserve">capital x2 (rho with equal weights 0.99)</w:t>
            </w:r>
          </w:p>
        </w:tc>
        <w:tc>
          <w:tcPr>
            <w:tcW w:type="dxa" w:w="1252"/>
          </w:tcPr>
          <w:p>
            <w:pPr>
              <w:pStyle w:val="Compact"/>
              <w:jc w:val="left"/>
            </w:pPr>
            <w:r>
              <w:rPr>
                <w:sz w:val="15"/>
              </w:rPr>
              <w:t xml:space="preserve">0.30</w:t>
            </w:r>
          </w:p>
        </w:tc>
        <w:tc>
          <w:tcPr>
            <w:tcW w:type="dxa" w:w="1252"/>
          </w:tcPr>
          <w:p>
            <w:pPr>
              <w:pStyle w:val="Compact"/>
              <w:jc w:val="left"/>
            </w:pPr>
            <w:r>
              <w:rPr>
                <w:sz w:val="15"/>
              </w:rPr>
              <w:t xml:space="preserve">0.43</w:t>
            </w:r>
          </w:p>
        </w:tc>
        <w:tc>
          <w:tcPr>
            <w:tcW w:type="dxa" w:w="1252"/>
          </w:tcPr>
          <w:p>
            <w:pPr>
              <w:pStyle w:val="Compact"/>
              <w:jc w:val="left"/>
            </w:pPr>
            <w:r>
              <w:rPr>
                <w:sz w:val="15"/>
              </w:rPr>
              <w:t xml:space="preserve">0.73</w:t>
            </w:r>
          </w:p>
        </w:tc>
        <w:tc>
          <w:tcPr>
            <w:tcW w:type="dxa" w:w="1252"/>
          </w:tcPr>
          <w:p>
            <w:pPr>
              <w:pStyle w:val="Compact"/>
              <w:jc w:val="left"/>
            </w:pPr>
            <w:r>
              <w:rPr>
                <w:sz w:val="15"/>
              </w:rPr>
              <w:t xml:space="preserve">0.65</w:t>
            </w:r>
          </w:p>
        </w:tc>
        <w:tc>
          <w:tcPr>
            <w:tcW w:type="dxa" w:w="1252"/>
          </w:tcPr>
          <w:p>
            <w:pPr>
              <w:pStyle w:val="Compact"/>
              <w:jc w:val="left"/>
            </w:pPr>
            <w:r>
              <w:rPr>
                <w:sz w:val="15"/>
              </w:rPr>
              <w:t xml:space="preserve">0.17</w:t>
            </w:r>
          </w:p>
        </w:tc>
        <w:tc>
          <w:tcPr>
            <w:tcW w:type="dxa" w:w="1252"/>
          </w:tcPr>
          <w:p>
            <w:pPr>
              <w:pStyle w:val="Compact"/>
              <w:jc w:val="left"/>
            </w:pPr>
            <w:r>
              <w:rPr>
                <w:sz w:val="15"/>
              </w:rPr>
              <w:t xml:space="preserve">0.37</w:t>
            </w:r>
          </w:p>
        </w:tc>
        <w:tc>
          <w:tcPr>
            <w:tcW w:type="dxa" w:w="1252"/>
          </w:tcPr>
          <w:p>
            <w:pPr>
              <w:pStyle w:val="Compact"/>
              <w:jc w:val="left"/>
            </w:pPr>
            <w:r>
              <w:rPr>
                <w:sz w:val="15"/>
              </w:rPr>
              <w:t xml:space="preserve">0.37</w:t>
            </w:r>
          </w:p>
        </w:tc>
        <w:tc>
          <w:tcPr>
            <w:tcW w:type="dxa" w:w="1252"/>
          </w:tcPr>
          <w:p>
            <w:pPr>
              <w:pStyle w:val="Compact"/>
              <w:jc w:val="left"/>
            </w:pPr>
            <w:r>
              <w:rPr>
                <w:sz w:val="15"/>
              </w:rPr>
              <w:t xml:space="preserve">0.67</w:t>
            </w:r>
          </w:p>
        </w:tc>
        <w:tc>
          <w:tcPr>
            <w:tcW w:type="dxa" w:w="1252"/>
          </w:tcPr>
          <w:p>
            <w:pPr>
              <w:pStyle w:val="Compact"/>
              <w:jc w:val="left"/>
            </w:pPr>
            <w:r>
              <w:rPr>
                <w:sz w:val="15"/>
              </w:rPr>
              <w:t xml:space="preserve">0.43</w:t>
            </w:r>
          </w:p>
        </w:tc>
        <w:tc>
          <w:tcPr>
            <w:tcW w:type="dxa" w:w="1252"/>
          </w:tcPr>
          <w:p>
            <w:pPr>
              <w:pStyle w:val="Compact"/>
              <w:jc w:val="left"/>
            </w:pPr>
            <w:r>
              <w:rPr>
                <w:sz w:val="15"/>
              </w:rPr>
              <w:t xml:space="preserve">0.43</w:t>
            </w:r>
          </w:p>
        </w:tc>
        <w:tc>
          <w:tcPr>
            <w:tcW w:type="dxa" w:w="1252"/>
          </w:tcPr>
          <w:p>
            <w:pPr>
              <w:pStyle w:val="Compact"/>
              <w:jc w:val="left"/>
            </w:pPr>
            <w:r>
              <w:rPr>
                <w:sz w:val="15"/>
              </w:rPr>
              <w:t xml:space="preserve">0.43</w:t>
            </w:r>
          </w:p>
        </w:tc>
      </w:tr>
      <w:tr>
        <w:tc>
          <w:tcPr>
            <w:tcW w:type="dxa" w:w="1252"/>
          </w:tcPr>
          <w:p>
            <w:pPr>
              <w:pStyle w:val="Compact"/>
              <w:jc w:val="left"/>
            </w:pPr>
            <w:r>
              <w:rPr>
                <w:sz w:val="15"/>
              </w:rPr>
              <w:t xml:space="preserve">no delivery (rho with equal weights 0.88)</w:t>
            </w:r>
          </w:p>
        </w:tc>
        <w:tc>
          <w:tcPr>
            <w:tcW w:type="dxa" w:w="1252"/>
          </w:tcPr>
          <w:p>
            <w:pPr>
              <w:pStyle w:val="Compact"/>
              <w:jc w:val="left"/>
            </w:pPr>
            <w:r>
              <w:rPr>
                <w:sz w:val="15"/>
              </w:rPr>
              <w:t xml:space="preserve">0.17</w:t>
            </w:r>
          </w:p>
        </w:tc>
        <w:tc>
          <w:tcPr>
            <w:tcW w:type="dxa" w:w="1252"/>
          </w:tcPr>
          <w:p>
            <w:pPr>
              <w:pStyle w:val="Compact"/>
              <w:jc w:val="left"/>
            </w:pPr>
            <w:r>
              <w:rPr>
                <w:sz w:val="15"/>
              </w:rPr>
              <w:t xml:space="preserve">0.39</w:t>
            </w:r>
          </w:p>
        </w:tc>
        <w:tc>
          <w:tcPr>
            <w:tcW w:type="dxa" w:w="1252"/>
          </w:tcPr>
          <w:p>
            <w:pPr>
              <w:pStyle w:val="Compact"/>
              <w:jc w:val="left"/>
            </w:pPr>
            <w:r>
              <w:rPr>
                <w:sz w:val="15"/>
              </w:rPr>
              <w:t xml:space="preserve">0.58</w:t>
            </w:r>
          </w:p>
        </w:tc>
        <w:tc>
          <w:tcPr>
            <w:tcW w:type="dxa" w:w="1252"/>
          </w:tcPr>
          <w:p>
            <w:pPr>
              <w:pStyle w:val="Compact"/>
              <w:jc w:val="left"/>
            </w:pPr>
            <w:r>
              <w:rPr>
                <w:sz w:val="15"/>
              </w:rPr>
              <w:t xml:space="preserve">0.52</w:t>
            </w:r>
          </w:p>
        </w:tc>
        <w:tc>
          <w:tcPr>
            <w:tcW w:type="dxa" w:w="1252"/>
          </w:tcPr>
          <w:p>
            <w:pPr>
              <w:pStyle w:val="Compact"/>
              <w:jc w:val="left"/>
            </w:pPr>
            <w:r>
              <w:rPr>
                <w:sz w:val="15"/>
              </w:rPr>
              <w:t xml:space="preserve">0.11</w:t>
            </w:r>
          </w:p>
        </w:tc>
        <w:tc>
          <w:tcPr>
            <w:tcW w:type="dxa" w:w="1252"/>
          </w:tcPr>
          <w:p>
            <w:pPr>
              <w:pStyle w:val="Compact"/>
              <w:jc w:val="left"/>
            </w:pPr>
            <w:r>
              <w:rPr>
                <w:sz w:val="15"/>
              </w:rPr>
              <w:t xml:space="preserve">0.44</w:t>
            </w:r>
          </w:p>
        </w:tc>
        <w:tc>
          <w:tcPr>
            <w:tcW w:type="dxa" w:w="1252"/>
          </w:tcPr>
          <w:p>
            <w:pPr>
              <w:pStyle w:val="Compact"/>
              <w:jc w:val="left"/>
            </w:pPr>
            <w:r>
              <w:rPr>
                <w:sz w:val="15"/>
              </w:rPr>
              <w:t xml:space="preserve">0.28</w:t>
            </w:r>
          </w:p>
        </w:tc>
        <w:tc>
          <w:tcPr>
            <w:tcW w:type="dxa" w:w="1252"/>
          </w:tcPr>
          <w:p>
            <w:pPr>
              <w:pStyle w:val="Compact"/>
              <w:jc w:val="left"/>
            </w:pPr>
            <w:r>
              <w:rPr>
                <w:sz w:val="15"/>
              </w:rPr>
              <w:t xml:space="preserve">0.59</w:t>
            </w:r>
          </w:p>
        </w:tc>
        <w:tc>
          <w:tcPr>
            <w:tcW w:type="dxa" w:w="1252"/>
          </w:tcPr>
          <w:p>
            <w:pPr>
              <w:pStyle w:val="Compact"/>
              <w:jc w:val="left"/>
            </w:pPr>
            <w:r>
              <w:rPr>
                <w:sz w:val="15"/>
              </w:rPr>
              <w:t xml:space="preserve">0.39</w:t>
            </w:r>
          </w:p>
        </w:tc>
        <w:tc>
          <w:tcPr>
            <w:tcW w:type="dxa" w:w="1252"/>
          </w:tcPr>
          <w:p>
            <w:pPr>
              <w:pStyle w:val="Compact"/>
              <w:jc w:val="left"/>
            </w:pPr>
            <w:r>
              <w:rPr>
                <w:sz w:val="15"/>
              </w:rPr>
              <w:t xml:space="preserve">0.39</w:t>
            </w:r>
          </w:p>
        </w:tc>
        <w:tc>
          <w:tcPr>
            <w:tcW w:type="dxa" w:w="1252"/>
          </w:tcPr>
          <w:p>
            <w:pPr>
              <w:pStyle w:val="Compact"/>
              <w:jc w:val="left"/>
            </w:pPr>
            <w:r>
              <w:rPr>
                <w:sz w:val="15"/>
              </w:rPr>
              <w:t xml:space="preserve">0.39</w:t>
            </w:r>
          </w:p>
        </w:tc>
      </w:tr>
      <w:tr>
        <w:tc>
          <w:tcPr>
            <w:tcW w:type="dxa" w:w="1252"/>
          </w:tcPr>
          <w:p>
            <w:pPr>
              <w:pStyle w:val="Compact"/>
              <w:jc w:val="left"/>
            </w:pPr>
            <w:r>
              <w:rPr>
                <w:sz w:val="15"/>
              </w:rPr>
              <w:t xml:space="preserve">capital only (rho with equal weights 0.77)</w:t>
            </w:r>
          </w:p>
        </w:tc>
        <w:tc>
          <w:tcPr>
            <w:tcW w:type="dxa" w:w="1252"/>
          </w:tcPr>
          <w:p>
            <w:pPr>
              <w:pStyle w:val="Compact"/>
              <w:jc w:val="left"/>
            </w:pPr>
            <w:r>
              <w:rPr>
                <w:sz w:val="15"/>
              </w:rPr>
              <w:t xml:space="preserve">0.00</w:t>
            </w:r>
          </w:p>
        </w:tc>
        <w:tc>
          <w:tcPr>
            <w:tcW w:type="dxa" w:w="1252"/>
          </w:tcPr>
          <w:p>
            <w:pPr>
              <w:pStyle w:val="Compact"/>
              <w:jc w:val="left"/>
            </w:pPr>
            <w:r>
              <w:rPr>
                <w:sz w:val="15"/>
              </w:rPr>
              <w:t xml:space="preserve">0.00</w:t>
            </w:r>
          </w:p>
        </w:tc>
        <w:tc>
          <w:tcPr>
            <w:tcW w:type="dxa" w:w="1252"/>
          </w:tcPr>
          <w:p>
            <w:pPr>
              <w:pStyle w:val="Compact"/>
              <w:jc w:val="left"/>
            </w:pPr>
            <w:r>
              <w:rPr>
                <w:sz w:val="15"/>
              </w:rPr>
              <w:t xml:space="preserve">0.90</w:t>
            </w:r>
          </w:p>
        </w:tc>
        <w:tc>
          <w:tcPr>
            <w:tcW w:type="dxa" w:w="1252"/>
          </w:tcPr>
          <w:p>
            <w:pPr>
              <w:pStyle w:val="Compact"/>
              <w:jc w:val="left"/>
            </w:pPr>
            <w:r>
              <w:rPr>
                <w:sz w:val="15"/>
              </w:rPr>
              <w:t xml:space="preserve">0.72</w:t>
            </w:r>
          </w:p>
        </w:tc>
        <w:tc>
          <w:tcPr>
            <w:tcW w:type="dxa" w:w="1252"/>
          </w:tcPr>
          <w:p>
            <w:pPr>
              <w:pStyle w:val="Compact"/>
              <w:jc w:val="left"/>
            </w:pPr>
            <w:r>
              <w:rPr>
                <w:sz w:val="15"/>
              </w:rPr>
              <w:t xml:space="preserve">0.00</w:t>
            </w:r>
          </w:p>
        </w:tc>
        <w:tc>
          <w:tcPr>
            <w:tcW w:type="dxa" w:w="1252"/>
          </w:tcPr>
          <w:p>
            <w:pPr>
              <w:pStyle w:val="Compact"/>
              <w:jc w:val="left"/>
            </w:pPr>
            <w:r>
              <w:rPr>
                <w:sz w:val="15"/>
              </w:rPr>
              <w:t xml:space="preserve">0.00</w:t>
            </w:r>
          </w:p>
        </w:tc>
        <w:tc>
          <w:tcPr>
            <w:tcW w:type="dxa" w:w="1252"/>
          </w:tcPr>
          <w:p>
            <w:pPr>
              <w:pStyle w:val="Compact"/>
              <w:jc w:val="left"/>
            </w:pPr>
            <w:r>
              <w:rPr>
                <w:sz w:val="15"/>
              </w:rPr>
              <w:t xml:space="preserve">0.00</w:t>
            </w:r>
          </w:p>
        </w:tc>
        <w:tc>
          <w:tcPr>
            <w:tcW w:type="dxa" w:w="1252"/>
          </w:tcPr>
          <w:p>
            <w:pPr>
              <w:pStyle w:val="Compact"/>
              <w:jc w:val="left"/>
            </w:pPr>
            <w:r>
              <w:rPr>
                <w:sz w:val="15"/>
              </w:rPr>
              <w:t xml:space="preserve">0.59</w:t>
            </w:r>
          </w:p>
        </w:tc>
        <w:tc>
          <w:tcPr>
            <w:tcW w:type="dxa" w:w="1252"/>
          </w:tcPr>
          <w:p>
            <w:pPr>
              <w:pStyle w:val="Compact"/>
              <w:jc w:val="left"/>
            </w:pPr>
            <w:r>
              <w:rPr>
                <w:sz w:val="15"/>
              </w:rPr>
              <w:t xml:space="preserve">0.00</w:t>
            </w:r>
          </w:p>
        </w:tc>
        <w:tc>
          <w:tcPr>
            <w:tcW w:type="dxa" w:w="1252"/>
          </w:tcPr>
          <w:p>
            <w:pPr>
              <w:pStyle w:val="Compact"/>
              <w:jc w:val="left"/>
            </w:pPr>
            <w:r>
              <w:rPr>
                <w:sz w:val="15"/>
              </w:rPr>
              <w:t xml:space="preserve">0.00</w:t>
            </w:r>
          </w:p>
        </w:tc>
        <w:tc>
          <w:tcPr>
            <w:tcW w:type="dxa" w:w="1252"/>
          </w:tcPr>
          <w:p>
            <w:pPr>
              <w:pStyle w:val="Compact"/>
              <w:jc w:val="left"/>
            </w:pPr>
            <w:r>
              <w:rPr>
                <w:sz w:val="15"/>
              </w:rPr>
              <w:t xml:space="preserve">0.00</w:t>
            </w:r>
          </w:p>
        </w:tc>
      </w:tr>
      <w:tr>
        <w:tc>
          <w:tcPr>
            <w:tcW w:type="dxa" w:w="1252"/>
          </w:tcPr>
          <w:p>
            <w:pPr>
              <w:pStyle w:val="Compact"/>
              <w:jc w:val="left"/>
            </w:pPr>
            <w:r>
              <w:rPr>
                <w:sz w:val="15"/>
              </w:rPr>
              <w:t xml:space="preserve">friction x2 (rho with equal weights 1.00)</w:t>
            </w:r>
          </w:p>
        </w:tc>
        <w:tc>
          <w:tcPr>
            <w:tcW w:type="dxa" w:w="1252"/>
          </w:tcPr>
          <w:p>
            <w:pPr>
              <w:pStyle w:val="Compact"/>
              <w:jc w:val="left"/>
            </w:pPr>
            <w:r>
              <w:rPr>
                <w:sz w:val="15"/>
              </w:rPr>
              <w:t xml:space="preserve">0.30</w:t>
            </w:r>
          </w:p>
        </w:tc>
        <w:tc>
          <w:tcPr>
            <w:tcW w:type="dxa" w:w="1252"/>
          </w:tcPr>
          <w:p>
            <w:pPr>
              <w:pStyle w:val="Compact"/>
              <w:jc w:val="left"/>
            </w:pPr>
            <w:r>
              <w:rPr>
                <w:sz w:val="15"/>
              </w:rPr>
              <w:t xml:space="preserve">0.57</w:t>
            </w:r>
          </w:p>
        </w:tc>
        <w:tc>
          <w:tcPr>
            <w:tcW w:type="dxa" w:w="1252"/>
          </w:tcPr>
          <w:p>
            <w:pPr>
              <w:pStyle w:val="Compact"/>
              <w:jc w:val="left"/>
            </w:pPr>
            <w:r>
              <w:rPr>
                <w:sz w:val="15"/>
              </w:rPr>
              <w:t xml:space="preserve">0.61</w:t>
            </w:r>
          </w:p>
        </w:tc>
        <w:tc>
          <w:tcPr>
            <w:tcW w:type="dxa" w:w="1252"/>
          </w:tcPr>
          <w:p>
            <w:pPr>
              <w:pStyle w:val="Compact"/>
              <w:jc w:val="left"/>
            </w:pPr>
            <w:r>
              <w:rPr>
                <w:sz w:val="15"/>
              </w:rPr>
              <w:t xml:space="preserve">0.58</w:t>
            </w:r>
          </w:p>
        </w:tc>
        <w:tc>
          <w:tcPr>
            <w:tcW w:type="dxa" w:w="1252"/>
          </w:tcPr>
          <w:p>
            <w:pPr>
              <w:pStyle w:val="Compact"/>
              <w:jc w:val="left"/>
            </w:pPr>
            <w:r>
              <w:rPr>
                <w:sz w:val="15"/>
              </w:rPr>
              <w:t xml:space="preserve">0.23</w:t>
            </w:r>
          </w:p>
        </w:tc>
        <w:tc>
          <w:tcPr>
            <w:tcW w:type="dxa" w:w="1252"/>
          </w:tcPr>
          <w:p>
            <w:pPr>
              <w:pStyle w:val="Compact"/>
              <w:jc w:val="left"/>
            </w:pPr>
            <w:r>
              <w:rPr>
                <w:sz w:val="15"/>
              </w:rPr>
              <w:t xml:space="preserve">0.43</w:t>
            </w:r>
          </w:p>
        </w:tc>
        <w:tc>
          <w:tcPr>
            <w:tcW w:type="dxa" w:w="1252"/>
          </w:tcPr>
          <w:p>
            <w:pPr>
              <w:pStyle w:val="Compact"/>
              <w:jc w:val="left"/>
            </w:pPr>
            <w:r>
              <w:rPr>
                <w:sz w:val="15"/>
              </w:rPr>
              <w:t xml:space="preserve">0.43</w:t>
            </w:r>
          </w:p>
        </w:tc>
        <w:tc>
          <w:tcPr>
            <w:tcW w:type="dxa" w:w="1252"/>
          </w:tcPr>
          <w:p>
            <w:pPr>
              <w:pStyle w:val="Compact"/>
              <w:jc w:val="left"/>
            </w:pPr>
            <w:r>
              <w:rPr>
                <w:sz w:val="15"/>
              </w:rPr>
              <w:t xml:space="preserve">0.69</w:t>
            </w:r>
          </w:p>
        </w:tc>
        <w:tc>
          <w:tcPr>
            <w:tcW w:type="dxa" w:w="1252"/>
          </w:tcPr>
          <w:p>
            <w:pPr>
              <w:pStyle w:val="Compact"/>
              <w:jc w:val="left"/>
            </w:pPr>
            <w:r>
              <w:rPr>
                <w:sz w:val="15"/>
              </w:rPr>
              <w:t xml:space="preserve">0.57</w:t>
            </w:r>
          </w:p>
        </w:tc>
        <w:tc>
          <w:tcPr>
            <w:tcW w:type="dxa" w:w="1252"/>
          </w:tcPr>
          <w:p>
            <w:pPr>
              <w:pStyle w:val="Compact"/>
              <w:jc w:val="left"/>
            </w:pPr>
            <w:r>
              <w:rPr>
                <w:sz w:val="15"/>
              </w:rPr>
              <w:t xml:space="preserve">0.57</w:t>
            </w:r>
          </w:p>
        </w:tc>
        <w:tc>
          <w:tcPr>
            <w:tcW w:type="dxa" w:w="1252"/>
          </w:tcPr>
          <w:p>
            <w:pPr>
              <w:pStyle w:val="Compact"/>
              <w:jc w:val="left"/>
            </w:pPr>
            <w:r>
              <w:rPr>
                <w:sz w:val="15"/>
              </w:rPr>
              <w:t xml:space="preserve">0.57</w:t>
            </w:r>
          </w:p>
        </w:tc>
      </w:tr>
      <w:tr>
        <w:tc>
          <w:tcPr>
            <w:tcW w:type="dxa" w:w="1252"/>
          </w:tcPr>
          <w:p>
            <w:pPr>
              <w:pStyle w:val="Compact"/>
              <w:jc w:val="left"/>
            </w:pPr>
            <w:r>
              <w:rPr>
                <w:sz w:val="15"/>
              </w:rPr>
              <w:t xml:space="preserve">viable-fleet capital (rho with equal weights 0.70)</w:t>
            </w:r>
          </w:p>
        </w:tc>
        <w:tc>
          <w:tcPr>
            <w:tcW w:type="dxa" w:w="1252"/>
          </w:tcPr>
          <w:p>
            <w:pPr>
              <w:pStyle w:val="Compact"/>
              <w:jc w:val="left"/>
            </w:pPr>
            <w:r>
              <w:rPr>
                <w:sz w:val="15"/>
              </w:rPr>
              <w:t xml:space="preserve">0.38</w:t>
            </w:r>
          </w:p>
        </w:tc>
        <w:tc>
          <w:tcPr>
            <w:tcW w:type="dxa" w:w="1252"/>
          </w:tcPr>
          <w:p>
            <w:pPr>
              <w:pStyle w:val="Compact"/>
              <w:jc w:val="left"/>
            </w:pPr>
            <w:r>
              <w:rPr>
                <w:sz w:val="15"/>
              </w:rPr>
              <w:t xml:space="preserve">0.54</w:t>
            </w:r>
          </w:p>
        </w:tc>
        <w:tc>
          <w:tcPr>
            <w:tcW w:type="dxa" w:w="1252"/>
          </w:tcPr>
          <w:p>
            <w:pPr>
              <w:pStyle w:val="Compact"/>
              <w:jc w:val="left"/>
            </w:pPr>
            <w:r>
              <w:rPr>
                <w:sz w:val="15"/>
              </w:rPr>
              <w:t xml:space="preserve">0.51</w:t>
            </w:r>
          </w:p>
        </w:tc>
        <w:tc>
          <w:tcPr>
            <w:tcW w:type="dxa" w:w="1252"/>
          </w:tcPr>
          <w:p>
            <w:pPr>
              <w:pStyle w:val="Compact"/>
              <w:jc w:val="left"/>
            </w:pPr>
            <w:r>
              <w:rPr>
                <w:sz w:val="15"/>
              </w:rPr>
              <w:t xml:space="preserve">0.47</w:t>
            </w:r>
          </w:p>
        </w:tc>
        <w:tc>
          <w:tcPr>
            <w:tcW w:type="dxa" w:w="1252"/>
          </w:tcPr>
          <w:p>
            <w:pPr>
              <w:pStyle w:val="Compact"/>
              <w:jc w:val="left"/>
            </w:pPr>
            <w:r>
              <w:rPr>
                <w:sz w:val="15"/>
              </w:rPr>
              <w:t xml:space="preserve">0.21</w:t>
            </w:r>
          </w:p>
        </w:tc>
        <w:tc>
          <w:tcPr>
            <w:tcW w:type="dxa" w:w="1252"/>
          </w:tcPr>
          <w:p>
            <w:pPr>
              <w:pStyle w:val="Compact"/>
              <w:jc w:val="left"/>
            </w:pPr>
            <w:r>
              <w:rPr>
                <w:sz w:val="15"/>
              </w:rPr>
              <w:t xml:space="preserve">0.46</w:t>
            </w:r>
          </w:p>
        </w:tc>
        <w:tc>
          <w:tcPr>
            <w:tcW w:type="dxa" w:w="1252"/>
          </w:tcPr>
          <w:p>
            <w:pPr>
              <w:pStyle w:val="Compact"/>
              <w:jc w:val="left"/>
            </w:pPr>
            <w:r>
              <w:rPr>
                <w:sz w:val="15"/>
              </w:rPr>
              <w:t xml:space="preserve">0.46</w:t>
            </w:r>
          </w:p>
        </w:tc>
        <w:tc>
          <w:tcPr>
            <w:tcW w:type="dxa" w:w="1252"/>
          </w:tcPr>
          <w:p>
            <w:pPr>
              <w:pStyle w:val="Compact"/>
              <w:jc w:val="left"/>
            </w:pPr>
            <w:r>
              <w:rPr>
                <w:sz w:val="15"/>
              </w:rPr>
              <w:t xml:space="preserve">0.54</w:t>
            </w:r>
          </w:p>
        </w:tc>
        <w:tc>
          <w:tcPr>
            <w:tcW w:type="dxa" w:w="1252"/>
          </w:tcPr>
          <w:p>
            <w:pPr>
              <w:pStyle w:val="Compact"/>
              <w:jc w:val="left"/>
            </w:pPr>
            <w:r>
              <w:rPr>
                <w:sz w:val="15"/>
              </w:rPr>
              <w:t xml:space="preserve">0.54</w:t>
            </w:r>
          </w:p>
        </w:tc>
        <w:tc>
          <w:tcPr>
            <w:tcW w:type="dxa" w:w="1252"/>
          </w:tcPr>
          <w:p>
            <w:pPr>
              <w:pStyle w:val="Compact"/>
              <w:jc w:val="left"/>
            </w:pPr>
            <w:r>
              <w:rPr>
                <w:sz w:val="15"/>
              </w:rPr>
              <w:t xml:space="preserve">0.54</w:t>
            </w:r>
          </w:p>
        </w:tc>
        <w:tc>
          <w:tcPr>
            <w:tcW w:type="dxa" w:w="1252"/>
          </w:tcPr>
          <w:p>
            <w:pPr>
              <w:pStyle w:val="Compact"/>
              <w:jc w:val="left"/>
            </w:pPr>
            <w:r>
              <w:rPr>
                <w:sz w:val="15"/>
              </w:rPr>
              <w:t xml:space="preserve">0.54</w:t>
            </w:r>
          </w:p>
        </w:tc>
      </w:tr>
    </w:tbl>
    <w:p>
      <w:pPr>
        <w:pStyle w:val="BodyText"/>
      </w:pPr>
      <w:r>
        <w:t xml:space="preserve">Random weights (Dirichlet(1,1,1,1), 20000 draws): share of draws in which each country has the lowest compute-entry score: Malaysia 50%, Philippines 0%, Thailand 0%, Viet Nam 50%. Thailand’s entry score is higher than at least one of Malaysia and Viet Nam in 100% of draws.</w:t>
      </w:r>
    </w:p>
    <w:bookmarkEnd w:id="33"/>
    <w:bookmarkEnd w:id="34"/>
    <w:bookmarkStart w:id="35" w:name="Xbe380c8e407ecff7794c94bb94c7e8790daa9c5"/>
    <w:p>
      <w:pPr>
        <w:pStyle w:val="Heading2"/>
      </w:pPr>
      <w:r>
        <w:t xml:space="preserve">Table S8. Index against outcomes and predictions</w:t>
      </w:r>
    </w:p>
    <w:bookmarkEnd w:id="35"/>
    <w:bookmarkStart w:id="40" w:name="a.-thailand-boi-approvals-by-route-2025"/>
    <w:p>
      <w:pPr>
        <w:pStyle w:val="Heading2"/>
      </w:pPr>
      <w:r>
        <w:t xml:space="preserve">A. Thailand: BOI approvals by route, 2025</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748"/>
        <w:gridCol w:w="2878"/>
        <w:gridCol w:w="2014"/>
        <w:gridCol w:w="2014"/>
        <w:gridCol w:w="2187"/>
        <w:gridCol w:w="2417"/>
        <w:gridCol w:w="2762"/>
      </w:tblGrid>
      <w:tr>
        <w:trPr>
          <w:tblHeader w:val="true"/>
        </w:trPr>
        <w:tc>
          <w:tcPr>
            <w:tcW w:type="dxa" w:w="748"/>
          </w:tcPr>
          <w:p>
            <w:pPr>
              <w:pStyle w:val="Compact"/>
              <w:jc w:val="left"/>
            </w:pPr>
            <w:r>
              <w:rPr>
                <w:b/>
                <w:sz w:val="15"/>
              </w:rPr>
              <w:t xml:space="preserve">Route</w:t>
            </w:r>
          </w:p>
        </w:tc>
        <w:tc>
          <w:tcPr>
            <w:tcW w:type="dxa" w:w="2878"/>
          </w:tcPr>
          <w:p>
            <w:pPr>
              <w:pStyle w:val="Compact"/>
              <w:jc w:val="left"/>
            </w:pPr>
            <w:r>
              <w:rPr>
                <w:b/>
                <w:sz w:val="15"/>
              </w:rPr>
              <w:t xml:space="preserve">Activity</w:t>
            </w:r>
          </w:p>
        </w:tc>
        <w:tc>
          <w:tcPr>
            <w:tcW w:type="dxa" w:w="2015"/>
          </w:tcPr>
          <w:p>
            <w:pPr>
              <w:pStyle w:val="Compact"/>
              <w:jc w:val="left"/>
            </w:pPr>
            <w:r>
              <w:rPr>
                <w:b/>
                <w:sz w:val="15"/>
              </w:rPr>
              <w:t xml:space="preserve">Index (composite)</w:t>
            </w:r>
          </w:p>
        </w:tc>
        <w:tc>
          <w:tcPr>
            <w:tcW w:type="dxa" w:w="2015"/>
          </w:tcPr>
          <w:p>
            <w:pPr>
              <w:pStyle w:val="Compact"/>
              <w:jc w:val="left"/>
            </w:pPr>
            <w:r>
              <w:rPr>
                <w:b/>
                <w:sz w:val="15"/>
              </w:rPr>
              <w:t xml:space="preserve">Capital barrier</w:t>
            </w:r>
          </w:p>
        </w:tc>
        <w:tc>
          <w:tcPr>
            <w:tcW w:type="dxa" w:w="2187"/>
          </w:tcPr>
          <w:p>
            <w:pPr>
              <w:pStyle w:val="Compact"/>
              <w:jc w:val="left"/>
            </w:pPr>
            <w:r>
              <w:rPr>
                <w:b/>
                <w:sz w:val="15"/>
              </w:rPr>
              <w:t xml:space="preserve">Projects</w:t>
            </w:r>
          </w:p>
        </w:tc>
        <w:tc>
          <w:tcPr>
            <w:tcW w:type="dxa" w:w="2418"/>
          </w:tcPr>
          <w:p>
            <w:pPr>
              <w:pStyle w:val="Compact"/>
              <w:jc w:val="left"/>
            </w:pPr>
            <w:r>
              <w:rPr>
                <w:b/>
                <w:sz w:val="15"/>
              </w:rPr>
              <w:t xml:space="preserve">Mean investment (THB million)</w:t>
            </w:r>
          </w:p>
        </w:tc>
        <w:tc>
          <w:tcPr>
            <w:tcW w:type="dxa" w:w="2763"/>
          </w:tcPr>
          <w:p>
            <w:pPr>
              <w:pStyle w:val="Compact"/>
              <w:jc w:val="left"/>
            </w:pPr>
            <w:r>
              <w:rPr>
                <w:b/>
                <w:sz w:val="15"/>
              </w:rPr>
              <w:t xml:space="preserve">Thai-held share of registered capital (%)</w:t>
            </w:r>
          </w:p>
        </w:tc>
      </w:tr>
      <w:tr>
        <w:tc>
          <w:tcPr>
            <w:tcW w:type="dxa" w:w="748"/>
          </w:tcPr>
          <w:p>
            <w:pPr>
              <w:pStyle w:val="Compact"/>
              <w:jc w:val="left"/>
            </w:pPr>
            <w:r>
              <w:rPr>
                <w:sz w:val="15"/>
              </w:rPr>
              <w:t xml:space="preserve">TH-SW</w:t>
            </w:r>
          </w:p>
        </w:tc>
        <w:tc>
          <w:tcPr>
            <w:tcW w:type="dxa" w:w="2878"/>
          </w:tcPr>
          <w:p>
            <w:pPr>
              <w:pStyle w:val="Compact"/>
              <w:jc w:val="left"/>
            </w:pPr>
            <w:r>
              <w:rPr>
                <w:sz w:val="15"/>
              </w:rPr>
              <w:t xml:space="preserve">8.1.1 software</w:t>
            </w:r>
          </w:p>
        </w:tc>
        <w:tc>
          <w:tcPr>
            <w:tcW w:type="dxa" w:w="2015"/>
          </w:tcPr>
          <w:p>
            <w:pPr>
              <w:pStyle w:val="Compact"/>
              <w:jc w:val="left"/>
            </w:pPr>
            <w:r>
              <w:rPr>
                <w:sz w:val="15"/>
              </w:rPr>
              <w:t xml:space="preserve">0.38</w:t>
            </w:r>
          </w:p>
        </w:tc>
        <w:tc>
          <w:tcPr>
            <w:tcW w:type="dxa" w:w="2015"/>
          </w:tcPr>
          <w:p>
            <w:pPr>
              <w:pStyle w:val="Compact"/>
              <w:jc w:val="left"/>
            </w:pPr>
            <w:r>
              <w:rPr>
                <w:sz w:val="15"/>
              </w:rPr>
              <w:t xml:space="preserve">0.00</w:t>
            </w:r>
          </w:p>
        </w:tc>
        <w:tc>
          <w:tcPr>
            <w:tcW w:type="dxa" w:w="2187"/>
          </w:tcPr>
          <w:p>
            <w:pPr>
              <w:pStyle w:val="Compact"/>
              <w:jc w:val="left"/>
            </w:pPr>
            <w:r>
              <w:rPr>
                <w:sz w:val="15"/>
              </w:rPr>
              <w:t xml:space="preserve">96</w:t>
            </w:r>
          </w:p>
        </w:tc>
        <w:tc>
          <w:tcPr>
            <w:tcW w:type="dxa" w:w="2418"/>
          </w:tcPr>
          <w:p>
            <w:pPr>
              <w:pStyle w:val="Compact"/>
              <w:jc w:val="left"/>
            </w:pPr>
            <w:r>
              <w:rPr>
                <w:sz w:val="15"/>
              </w:rPr>
              <w:t xml:space="preserve">9.7</w:t>
            </w:r>
          </w:p>
        </w:tc>
        <w:tc>
          <w:tcPr>
            <w:tcW w:type="dxa" w:w="2763"/>
          </w:tcPr>
          <w:p>
            <w:pPr>
              <w:pStyle w:val="Compact"/>
              <w:jc w:val="left"/>
            </w:pPr>
            <w:r>
              <w:rPr>
                <w:sz w:val="15"/>
              </w:rPr>
              <w:t xml:space="preserve">46</w:t>
            </w:r>
          </w:p>
        </w:tc>
      </w:tr>
      <w:tr>
        <w:tc>
          <w:tcPr>
            <w:tcW w:type="dxa" w:w="748"/>
          </w:tcPr>
          <w:p>
            <w:pPr>
              <w:pStyle w:val="Compact"/>
              <w:jc w:val="left"/>
            </w:pPr>
            <w:r>
              <w:rPr>
                <w:sz w:val="15"/>
              </w:rPr>
              <w:t xml:space="preserve">TH-CLOUD</w:t>
            </w:r>
          </w:p>
        </w:tc>
        <w:tc>
          <w:tcPr>
            <w:tcW w:type="dxa" w:w="2878"/>
          </w:tcPr>
          <w:p>
            <w:pPr>
              <w:pStyle w:val="Compact"/>
              <w:jc w:val="left"/>
            </w:pPr>
            <w:r>
              <w:rPr>
                <w:sz w:val="15"/>
              </w:rPr>
              <w:t xml:space="preserve">8.2.2 cloud (Siam AI project only)</w:t>
            </w:r>
          </w:p>
        </w:tc>
        <w:tc>
          <w:tcPr>
            <w:tcW w:type="dxa" w:w="2015"/>
          </w:tcPr>
          <w:p>
            <w:pPr>
              <w:pStyle w:val="Compact"/>
              <w:jc w:val="left"/>
            </w:pPr>
            <w:r>
              <w:rPr>
                <w:sz w:val="15"/>
              </w:rPr>
              <w:t xml:space="preserve">0.54</w:t>
            </w:r>
          </w:p>
        </w:tc>
        <w:tc>
          <w:tcPr>
            <w:tcW w:type="dxa" w:w="2015"/>
          </w:tcPr>
          <w:p>
            <w:pPr>
              <w:pStyle w:val="Compact"/>
              <w:jc w:val="left"/>
            </w:pPr>
            <w:r>
              <w:rPr>
                <w:sz w:val="15"/>
              </w:rPr>
              <w:t xml:space="preserve">0.00</w:t>
            </w:r>
          </w:p>
        </w:tc>
        <w:tc>
          <w:tcPr>
            <w:tcW w:type="dxa" w:w="2187"/>
          </w:tcPr>
          <w:p>
            <w:pPr>
              <w:pStyle w:val="Compact"/>
              <w:jc w:val="left"/>
            </w:pPr>
            <w:r>
              <w:rPr>
                <w:sz w:val="15"/>
              </w:rPr>
              <w:t xml:space="preserve">1</w:t>
            </w:r>
          </w:p>
        </w:tc>
        <w:tc>
          <w:tcPr>
            <w:tcW w:type="dxa" w:w="2418"/>
          </w:tcPr>
          <w:p>
            <w:pPr>
              <w:pStyle w:val="Compact"/>
              <w:jc w:val="left"/>
            </w:pPr>
            <w:r>
              <w:rPr>
                <w:sz w:val="15"/>
              </w:rPr>
              <w:t xml:space="preserve">3,250.0</w:t>
            </w:r>
          </w:p>
        </w:tc>
        <w:tc>
          <w:tcPr>
            <w:tcW w:type="dxa" w:w="2763"/>
          </w:tcPr>
          <w:p>
            <w:pPr>
              <w:pStyle w:val="Compact"/>
              <w:jc w:val="left"/>
            </w:pPr>
            <w:r>
              <w:rPr>
                <w:sz w:val="15"/>
              </w:rPr>
              <w:t xml:space="preserve">100</w:t>
            </w:r>
          </w:p>
        </w:tc>
      </w:tr>
      <w:tr>
        <w:tc>
          <w:tcPr>
            <w:tcW w:type="dxa" w:w="748"/>
          </w:tcPr>
          <w:p>
            <w:pPr>
              <w:pStyle w:val="Compact"/>
              <w:jc w:val="left"/>
            </w:pPr>
            <w:r>
              <w:rPr>
                <w:sz w:val="15"/>
              </w:rPr>
              <w:t xml:space="preserve">TH-DC</w:t>
            </w:r>
          </w:p>
        </w:tc>
        <w:tc>
          <w:tcPr>
            <w:tcW w:type="dxa" w:w="2878"/>
          </w:tcPr>
          <w:p>
            <w:pPr>
              <w:pStyle w:val="Compact"/>
              <w:jc w:val="left"/>
            </w:pPr>
            <w:r>
              <w:rPr>
                <w:sz w:val="15"/>
              </w:rPr>
              <w:t xml:space="preserve">8.2.1 data centres</w:t>
            </w:r>
          </w:p>
        </w:tc>
        <w:tc>
          <w:tcPr>
            <w:tcW w:type="dxa" w:w="2015"/>
          </w:tcPr>
          <w:p>
            <w:pPr>
              <w:pStyle w:val="Compact"/>
              <w:jc w:val="left"/>
            </w:pPr>
            <w:r>
              <w:rPr>
                <w:sz w:val="15"/>
              </w:rPr>
              <w:t xml:space="preserve">0.64</w:t>
            </w:r>
          </w:p>
        </w:tc>
        <w:tc>
          <w:tcPr>
            <w:tcW w:type="dxa" w:w="2015"/>
          </w:tcPr>
          <w:p>
            <w:pPr>
              <w:pStyle w:val="Compact"/>
              <w:jc w:val="left"/>
            </w:pPr>
            <w:r>
              <w:rPr>
                <w:sz w:val="15"/>
              </w:rPr>
              <w:t xml:space="preserve">0.72</w:t>
            </w:r>
          </w:p>
        </w:tc>
        <w:tc>
          <w:tcPr>
            <w:tcW w:type="dxa" w:w="2187"/>
          </w:tcPr>
          <w:p>
            <w:pPr>
              <w:pStyle w:val="Compact"/>
              <w:jc w:val="left"/>
            </w:pPr>
            <w:r>
              <w:rPr>
                <w:sz w:val="15"/>
              </w:rPr>
              <w:t xml:space="preserve">24</w:t>
            </w:r>
          </w:p>
        </w:tc>
        <w:tc>
          <w:tcPr>
            <w:tcW w:type="dxa" w:w="2418"/>
          </w:tcPr>
          <w:p>
            <w:pPr>
              <w:pStyle w:val="Compact"/>
              <w:jc w:val="left"/>
            </w:pPr>
            <w:r>
              <w:rPr>
                <w:sz w:val="15"/>
              </w:rPr>
              <w:t xml:space="preserve">19,083.3</w:t>
            </w:r>
          </w:p>
        </w:tc>
        <w:tc>
          <w:tcPr>
            <w:tcW w:type="dxa" w:w="2763"/>
          </w:tcPr>
          <w:p>
            <w:pPr>
              <w:pStyle w:val="Compact"/>
              <w:jc w:val="left"/>
            </w:pPr>
            <w:r>
              <w:rPr>
                <w:sz w:val="15"/>
              </w:rPr>
              <w:t xml:space="preserve">15</w:t>
            </w:r>
          </w:p>
        </w:tc>
      </w:tr>
      <w:tr>
        <w:tc>
          <w:tcPr>
            <w:tcW w:type="dxa" w:w="748"/>
          </w:tcPr>
          <w:p>
            <w:pPr>
              <w:pStyle w:val="Compact"/>
              <w:jc w:val="left"/>
            </w:pPr>
            <w:r>
              <w:rPr>
                <w:sz w:val="15"/>
              </w:rPr>
              <w:t xml:space="preserve">TH-GPU</w:t>
            </w:r>
          </w:p>
        </w:tc>
        <w:tc>
          <w:tcPr>
            <w:tcW w:type="dxa" w:w="2878"/>
          </w:tcPr>
          <w:p>
            <w:pPr>
              <w:pStyle w:val="Compact"/>
              <w:jc w:val="left"/>
            </w:pPr>
            <w:r>
              <w:rPr>
                <w:sz w:val="15"/>
              </w:rPr>
              <w:t xml:space="preserve">8.2.4 data hosting (TikTok project only)</w:t>
            </w:r>
          </w:p>
        </w:tc>
        <w:tc>
          <w:tcPr>
            <w:tcW w:type="dxa" w:w="2015"/>
          </w:tcPr>
          <w:p>
            <w:pPr>
              <w:pStyle w:val="Compact"/>
              <w:jc w:val="left"/>
            </w:pPr>
            <w:r>
              <w:rPr>
                <w:sz w:val="15"/>
              </w:rPr>
              <w:t xml:space="preserve">0.68</w:t>
            </w:r>
          </w:p>
        </w:tc>
        <w:tc>
          <w:tcPr>
            <w:tcW w:type="dxa" w:w="2015"/>
          </w:tcPr>
          <w:p>
            <w:pPr>
              <w:pStyle w:val="Compact"/>
              <w:jc w:val="left"/>
            </w:pPr>
            <w:r>
              <w:rPr>
                <w:sz w:val="15"/>
              </w:rPr>
              <w:t xml:space="preserve">0.90</w:t>
            </w:r>
          </w:p>
        </w:tc>
        <w:tc>
          <w:tcPr>
            <w:tcW w:type="dxa" w:w="2187"/>
          </w:tcPr>
          <w:p>
            <w:pPr>
              <w:pStyle w:val="Compact"/>
              <w:jc w:val="left"/>
            </w:pPr>
            <w:r>
              <w:rPr>
                <w:sz w:val="15"/>
              </w:rPr>
              <w:t xml:space="preserve">1</w:t>
            </w:r>
          </w:p>
        </w:tc>
        <w:tc>
          <w:tcPr>
            <w:tcW w:type="dxa" w:w="2418"/>
          </w:tcPr>
          <w:p>
            <w:pPr>
              <w:pStyle w:val="Compact"/>
              <w:jc w:val="left"/>
            </w:pPr>
            <w:r>
              <w:rPr>
                <w:sz w:val="15"/>
              </w:rPr>
              <w:t xml:space="preserve">126,793.0</w:t>
            </w:r>
          </w:p>
        </w:tc>
        <w:tc>
          <w:tcPr>
            <w:tcW w:type="dxa" w:w="2763"/>
          </w:tcPr>
          <w:p>
            <w:pPr>
              <w:pStyle w:val="Compact"/>
              <w:jc w:val="left"/>
            </w:pPr>
            <w:r>
              <w:rPr>
                <w:sz w:val="15"/>
              </w:rPr>
              <w:t xml:space="preserve">0</w:t>
            </w:r>
          </w:p>
        </w:tc>
      </w:tr>
    </w:tbl>
    <w:p>
      <w:pPr>
        <w:pStyle w:val="BodyText"/>
      </w:pPr>
      <w:r>
        <w:t xml:space="preserve">Rank correlation of the composite index with mean project investment: 1.00 (n = 4). With the Thai-held share: -0.80 (n = 4). The cloud route has one project, owned by a Thai firm, which breaks the monotonic fall in the Thai-held share with the index. With four points no significance test is meaningful.</w:t>
      </w:r>
    </w:p>
    <w:bookmarkStart w:id="36" w:name="X0f4a96d9c5081ac7cee277f5611fda490d33fe8"/>
    <w:p>
      <w:pPr>
        <w:pStyle w:val="Heading4"/>
      </w:pPr>
      <w:r>
        <w:t xml:space="preserve">B. Epoch AI GPU clusters in the four economies</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2503"/>
        <w:gridCol w:w="2503"/>
        <w:gridCol w:w="2503"/>
        <w:gridCol w:w="2503"/>
        <w:gridCol w:w="2503"/>
        <w:gridCol w:w="2503"/>
      </w:tblGrid>
      <w:tr>
        <w:trPr>
          <w:tblHeader w:val="true"/>
        </w:trPr>
        <w:tc>
          <w:tcPr>
            <w:tcW w:type="dxa" w:w="2504"/>
          </w:tcPr>
          <w:p>
            <w:pPr>
              <w:pStyle w:val="Compact"/>
              <w:jc w:val="left"/>
            </w:pPr>
            <w:r>
              <w:rPr>
                <w:b/>
                <w:sz w:val="15"/>
              </w:rPr>
              <w:t xml:space="preserve">Country</w:t>
            </w:r>
          </w:p>
        </w:tc>
        <w:tc>
          <w:tcPr>
            <w:tcW w:type="dxa" w:w="2504"/>
          </w:tcPr>
          <w:p>
            <w:pPr>
              <w:pStyle w:val="Compact"/>
              <w:jc w:val="left"/>
            </w:pPr>
            <w:r>
              <w:rPr>
                <w:b/>
                <w:sz w:val="15"/>
              </w:rPr>
              <w:t xml:space="preserve">Cluster</w:t>
            </w:r>
          </w:p>
        </w:tc>
        <w:tc>
          <w:tcPr>
            <w:tcW w:type="dxa" w:w="2504"/>
          </w:tcPr>
          <w:p>
            <w:pPr>
              <w:pStyle w:val="Compact"/>
              <w:jc w:val="left"/>
            </w:pPr>
            <w:r>
              <w:rPr>
                <w:b/>
                <w:sz w:val="15"/>
              </w:rPr>
              <w:t xml:space="preserve">Owner origin</w:t>
            </w:r>
          </w:p>
        </w:tc>
        <w:tc>
          <w:tcPr>
            <w:tcW w:type="dxa" w:w="2504"/>
          </w:tcPr>
          <w:p>
            <w:pPr>
              <w:pStyle w:val="Compact"/>
              <w:jc w:val="left"/>
            </w:pPr>
            <w:r>
              <w:rPr>
                <w:b/>
                <w:sz w:val="15"/>
              </w:rPr>
              <w:t xml:space="preserve">First operational</w:t>
            </w:r>
          </w:p>
        </w:tc>
        <w:tc>
          <w:tcPr>
            <w:tcW w:type="dxa" w:w="2504"/>
          </w:tcPr>
          <w:p>
            <w:pPr>
              <w:pStyle w:val="Compact"/>
              <w:jc w:val="left"/>
            </w:pPr>
            <w:r>
              <w:rPr>
                <w:b/>
                <w:sz w:val="15"/>
              </w:rPr>
              <w:t xml:space="preserve">H100 equivalents</w:t>
            </w:r>
          </w:p>
        </w:tc>
        <w:tc>
          <w:tcPr>
            <w:tcW w:type="dxa" w:w="2504"/>
          </w:tcPr>
          <w:p>
            <w:pPr>
              <w:pStyle w:val="Compact"/>
              <w:jc w:val="left"/>
            </w:pPr>
            <w:r>
              <w:rPr>
                <w:b/>
                <w:sz w:val="15"/>
              </w:rPr>
              <w:t xml:space="preserve">Power (MW)</w:t>
            </w:r>
          </w:p>
        </w:tc>
      </w:tr>
      <w:tr>
        <w:tc>
          <w:tcPr>
            <w:tcW w:type="dxa" w:w="2504"/>
          </w:tcPr>
          <w:p>
            <w:pPr>
              <w:pStyle w:val="Compact"/>
              <w:jc w:val="left"/>
            </w:pPr>
            <w:r>
              <w:rPr>
                <w:sz w:val="15"/>
              </w:rPr>
              <w:t xml:space="preserve">Malaysia</w:t>
            </w:r>
          </w:p>
        </w:tc>
        <w:tc>
          <w:tcPr>
            <w:tcW w:type="dxa" w:w="2504"/>
          </w:tcPr>
          <w:p>
            <w:pPr>
              <w:pStyle w:val="Compact"/>
              <w:jc w:val="left"/>
            </w:pPr>
            <w:r>
              <w:rPr>
                <w:sz w:val="15"/>
              </w:rPr>
              <w:t xml:space="preserve">Alibaba Cloud in Malaysia Phase 2</w:t>
            </w:r>
          </w:p>
        </w:tc>
        <w:tc>
          <w:tcPr>
            <w:tcW w:type="dxa" w:w="2504"/>
          </w:tcPr>
          <w:p>
            <w:pPr>
              <w:pStyle w:val="Compact"/>
              <w:jc w:val="left"/>
            </w:pPr>
            <w:r>
              <w:rPr>
                <w:sz w:val="15"/>
              </w:rPr>
              <w:t xml:space="preserve">foreign hyperscaler</w:t>
            </w:r>
          </w:p>
        </w:tc>
        <w:tc>
          <w:tcPr>
            <w:tcW w:type="dxa" w:w="2504"/>
          </w:tcPr>
          <w:p>
            <w:pPr>
              <w:pStyle w:val="Compact"/>
              <w:jc w:val="left"/>
            </w:pPr>
            <w:r>
              <w:rPr>
                <w:sz w:val="15"/>
              </w:rPr>
              <w:t xml:space="preserve">2025-07-01</w:t>
            </w:r>
          </w:p>
        </w:tc>
        <w:tc>
          <w:tcPr>
            <w:tcW w:type="dxa" w:w="2504"/>
          </w:tcPr>
          <w:p>
            <w:pPr>
              <w:pStyle w:val="Compact"/>
              <w:jc w:val="left"/>
            </w:pPr>
            <w:r>
              <w:rPr>
                <w:sz w:val="15"/>
              </w:rPr>
              <w:t xml:space="preserve">n/a</w:t>
            </w:r>
          </w:p>
        </w:tc>
        <w:tc>
          <w:tcPr>
            <w:tcW w:type="dxa" w:w="2504"/>
          </w:tcPr>
          <w:p>
            <w:pPr>
              <w:pStyle w:val="Compact"/>
              <w:jc w:val="left"/>
            </w:pPr>
            <w:r>
              <w:rPr>
                <w:sz w:val="15"/>
              </w:rPr>
              <w:t xml:space="preserve">n/a</w:t>
            </w:r>
          </w:p>
        </w:tc>
      </w:tr>
      <w:tr>
        <w:tc>
          <w:tcPr>
            <w:tcW w:type="dxa" w:w="2504"/>
          </w:tcPr>
          <w:p>
            <w:pPr>
              <w:pStyle w:val="Compact"/>
              <w:jc w:val="left"/>
            </w:pPr>
            <w:r>
              <w:rPr>
                <w:sz w:val="15"/>
              </w:rPr>
              <w:t xml:space="preserve">Philippines</w:t>
            </w:r>
          </w:p>
        </w:tc>
        <w:tc>
          <w:tcPr>
            <w:tcW w:type="dxa" w:w="2504"/>
          </w:tcPr>
          <w:p>
            <w:pPr>
              <w:pStyle w:val="Compact"/>
              <w:jc w:val="left"/>
            </w:pPr>
            <w:r>
              <w:rPr>
                <w:sz w:val="15"/>
              </w:rPr>
              <w:t xml:space="preserve">Alibaba Cloud in Philippines Phase 1</w:t>
            </w:r>
          </w:p>
        </w:tc>
        <w:tc>
          <w:tcPr>
            <w:tcW w:type="dxa" w:w="2504"/>
          </w:tcPr>
          <w:p>
            <w:pPr>
              <w:pStyle w:val="Compact"/>
              <w:jc w:val="left"/>
            </w:pPr>
            <w:r>
              <w:rPr>
                <w:sz w:val="15"/>
              </w:rPr>
              <w:t xml:space="preserve">foreign hyperscaler</w:t>
            </w:r>
          </w:p>
        </w:tc>
        <w:tc>
          <w:tcPr>
            <w:tcW w:type="dxa" w:w="2504"/>
          </w:tcPr>
          <w:p>
            <w:pPr>
              <w:pStyle w:val="Compact"/>
              <w:jc w:val="left"/>
            </w:pPr>
            <w:r>
              <w:rPr>
                <w:sz w:val="15"/>
              </w:rPr>
              <w:t xml:space="preserve">2021-07-01</w:t>
            </w:r>
          </w:p>
        </w:tc>
        <w:tc>
          <w:tcPr>
            <w:tcW w:type="dxa" w:w="2504"/>
          </w:tcPr>
          <w:p>
            <w:pPr>
              <w:pStyle w:val="Compact"/>
              <w:jc w:val="left"/>
            </w:pPr>
            <w:r>
              <w:rPr>
                <w:sz w:val="15"/>
              </w:rPr>
              <w:t xml:space="preserve">n/a</w:t>
            </w:r>
          </w:p>
        </w:tc>
        <w:tc>
          <w:tcPr>
            <w:tcW w:type="dxa" w:w="2504"/>
          </w:tcPr>
          <w:p>
            <w:pPr>
              <w:pStyle w:val="Compact"/>
              <w:jc w:val="left"/>
            </w:pPr>
            <w:r>
              <w:rPr>
                <w:sz w:val="15"/>
              </w:rPr>
              <w:t xml:space="preserve">n/a</w:t>
            </w:r>
          </w:p>
        </w:tc>
      </w:tr>
      <w:tr>
        <w:tc>
          <w:tcPr>
            <w:tcW w:type="dxa" w:w="2504"/>
          </w:tcPr>
          <w:p>
            <w:pPr>
              <w:pStyle w:val="Compact"/>
              <w:jc w:val="left"/>
            </w:pPr>
            <w:r>
              <w:rPr>
                <w:sz w:val="15"/>
              </w:rPr>
              <w:t xml:space="preserve">Singapore</w:t>
            </w:r>
          </w:p>
        </w:tc>
        <w:tc>
          <w:tcPr>
            <w:tcW w:type="dxa" w:w="2504"/>
          </w:tcPr>
          <w:p>
            <w:pPr>
              <w:pStyle w:val="Compact"/>
              <w:jc w:val="left"/>
            </w:pPr>
            <w:r>
              <w:rPr>
                <w:sz w:val="15"/>
              </w:rPr>
              <w:t xml:space="preserve">Sustainable Metal Cloud Singapore Phase 1</w:t>
            </w:r>
          </w:p>
        </w:tc>
        <w:tc>
          <w:tcPr>
            <w:tcW w:type="dxa" w:w="2504"/>
          </w:tcPr>
          <w:p>
            <w:pPr>
              <w:pStyle w:val="Compact"/>
              <w:jc w:val="left"/>
            </w:pPr>
            <w:r>
              <w:rPr>
                <w:sz w:val="15"/>
              </w:rPr>
              <w:t xml:space="preserve">Singapore-based (private)</w:t>
            </w:r>
          </w:p>
        </w:tc>
        <w:tc>
          <w:tcPr>
            <w:tcW w:type="dxa" w:w="2504"/>
          </w:tcPr>
          <w:p>
            <w:pPr>
              <w:pStyle w:val="Compact"/>
              <w:jc w:val="left"/>
            </w:pPr>
            <w:r>
              <w:rPr>
                <w:sz w:val="15"/>
              </w:rPr>
              <w:t xml:space="preserve">2024-05-30</w:t>
            </w:r>
          </w:p>
        </w:tc>
        <w:tc>
          <w:tcPr>
            <w:tcW w:type="dxa" w:w="2504"/>
          </w:tcPr>
          <w:p>
            <w:pPr>
              <w:pStyle w:val="Compact"/>
              <w:jc w:val="left"/>
            </w:pPr>
            <w:r>
              <w:rPr>
                <w:sz w:val="15"/>
              </w:rPr>
              <w:t xml:space="preserve">1,024</w:t>
            </w:r>
          </w:p>
        </w:tc>
        <w:tc>
          <w:tcPr>
            <w:tcW w:type="dxa" w:w="2504"/>
          </w:tcPr>
          <w:p>
            <w:pPr>
              <w:pStyle w:val="Compact"/>
              <w:jc w:val="left"/>
            </w:pPr>
            <w:r>
              <w:rPr>
                <w:sz w:val="15"/>
              </w:rPr>
              <w:t xml:space="preserve">1.46</w:t>
            </w:r>
          </w:p>
        </w:tc>
      </w:tr>
      <w:tr>
        <w:tc>
          <w:tcPr>
            <w:tcW w:type="dxa" w:w="2504"/>
          </w:tcPr>
          <w:p>
            <w:pPr>
              <w:pStyle w:val="Compact"/>
              <w:jc w:val="left"/>
            </w:pPr>
            <w:r>
              <w:rPr>
                <w:sz w:val="15"/>
              </w:rPr>
              <w:t xml:space="preserve">Thailand</w:t>
            </w:r>
          </w:p>
        </w:tc>
        <w:tc>
          <w:tcPr>
            <w:tcW w:type="dxa" w:w="2504"/>
          </w:tcPr>
          <w:p>
            <w:pPr>
              <w:pStyle w:val="Compact"/>
              <w:jc w:val="left"/>
            </w:pPr>
            <w:r>
              <w:rPr>
                <w:sz w:val="15"/>
              </w:rPr>
              <w:t xml:space="preserve">Alibaba Cloud in Thailand Phase 1</w:t>
            </w:r>
          </w:p>
        </w:tc>
        <w:tc>
          <w:tcPr>
            <w:tcW w:type="dxa" w:w="2504"/>
          </w:tcPr>
          <w:p>
            <w:pPr>
              <w:pStyle w:val="Compact"/>
              <w:jc w:val="left"/>
            </w:pPr>
            <w:r>
              <w:rPr>
                <w:sz w:val="15"/>
              </w:rPr>
              <w:t xml:space="preserve">foreign hyperscaler</w:t>
            </w:r>
          </w:p>
        </w:tc>
        <w:tc>
          <w:tcPr>
            <w:tcW w:type="dxa" w:w="2504"/>
          </w:tcPr>
          <w:p>
            <w:pPr>
              <w:pStyle w:val="Compact"/>
              <w:jc w:val="left"/>
            </w:pPr>
            <w:r>
              <w:rPr>
                <w:sz w:val="15"/>
              </w:rPr>
              <w:t xml:space="preserve">2022-07-01</w:t>
            </w:r>
          </w:p>
        </w:tc>
        <w:tc>
          <w:tcPr>
            <w:tcW w:type="dxa" w:w="2504"/>
          </w:tcPr>
          <w:p>
            <w:pPr>
              <w:pStyle w:val="Compact"/>
              <w:jc w:val="left"/>
            </w:pPr>
            <w:r>
              <w:rPr>
                <w:sz w:val="15"/>
              </w:rPr>
              <w:t xml:space="preserve">n/a</w:t>
            </w:r>
          </w:p>
        </w:tc>
        <w:tc>
          <w:tcPr>
            <w:tcW w:type="dxa" w:w="2504"/>
          </w:tcPr>
          <w:p>
            <w:pPr>
              <w:pStyle w:val="Compact"/>
              <w:jc w:val="left"/>
            </w:pPr>
            <w:r>
              <w:rPr>
                <w:sz w:val="15"/>
              </w:rPr>
              <w:t xml:space="preserve">n/a</w:t>
            </w:r>
          </w:p>
        </w:tc>
      </w:tr>
      <w:tr>
        <w:tc>
          <w:tcPr>
            <w:tcW w:type="dxa" w:w="2504"/>
          </w:tcPr>
          <w:p>
            <w:pPr>
              <w:pStyle w:val="Compact"/>
              <w:jc w:val="left"/>
            </w:pPr>
            <w:r>
              <w:rPr>
                <w:sz w:val="15"/>
              </w:rPr>
              <w:t xml:space="preserve">Thailand</w:t>
            </w:r>
          </w:p>
        </w:tc>
        <w:tc>
          <w:tcPr>
            <w:tcW w:type="dxa" w:w="2504"/>
          </w:tcPr>
          <w:p>
            <w:pPr>
              <w:pStyle w:val="Compact"/>
              <w:jc w:val="left"/>
            </w:pPr>
            <w:r>
              <w:rPr>
                <w:sz w:val="15"/>
              </w:rPr>
              <w:t xml:space="preserve">NSTDA Supercomputer Center (ThaiSC) LANTA</w:t>
            </w:r>
          </w:p>
        </w:tc>
        <w:tc>
          <w:tcPr>
            <w:tcW w:type="dxa" w:w="2504"/>
          </w:tcPr>
          <w:p>
            <w:pPr>
              <w:pStyle w:val="Compact"/>
              <w:jc w:val="left"/>
            </w:pPr>
            <w:r>
              <w:rPr>
                <w:sz w:val="15"/>
              </w:rPr>
              <w:t xml:space="preserve">Thai (public)</w:t>
            </w:r>
          </w:p>
        </w:tc>
        <w:tc>
          <w:tcPr>
            <w:tcW w:type="dxa" w:w="2504"/>
          </w:tcPr>
          <w:p>
            <w:pPr>
              <w:pStyle w:val="Compact"/>
              <w:jc w:val="left"/>
            </w:pPr>
            <w:r>
              <w:rPr>
                <w:sz w:val="15"/>
              </w:rPr>
              <w:t xml:space="preserve">2022-11-01</w:t>
            </w:r>
          </w:p>
        </w:tc>
        <w:tc>
          <w:tcPr>
            <w:tcW w:type="dxa" w:w="2504"/>
          </w:tcPr>
          <w:p>
            <w:pPr>
              <w:pStyle w:val="Compact"/>
              <w:jc w:val="left"/>
            </w:pPr>
            <w:r>
              <w:rPr>
                <w:sz w:val="15"/>
              </w:rPr>
              <w:t xml:space="preserve">222</w:t>
            </w:r>
          </w:p>
        </w:tc>
        <w:tc>
          <w:tcPr>
            <w:tcW w:type="dxa" w:w="2504"/>
          </w:tcPr>
          <w:p>
            <w:pPr>
              <w:pStyle w:val="Compact"/>
              <w:jc w:val="left"/>
            </w:pPr>
            <w:r>
              <w:rPr>
                <w:sz w:val="15"/>
              </w:rPr>
              <w:t xml:space="preserve">0.54</w:t>
            </w:r>
          </w:p>
        </w:tc>
      </w:tr>
      <w:tr>
        <w:tc>
          <w:tcPr>
            <w:tcW w:type="dxa" w:w="2504"/>
          </w:tcPr>
          <w:p>
            <w:pPr>
              <w:pStyle w:val="Compact"/>
              <w:jc w:val="left"/>
            </w:pPr>
            <w:r>
              <w:rPr>
                <w:sz w:val="15"/>
              </w:rPr>
              <w:t xml:space="preserve">Thailand</w:t>
            </w:r>
          </w:p>
        </w:tc>
        <w:tc>
          <w:tcPr>
            <w:tcW w:type="dxa" w:w="2504"/>
          </w:tcPr>
          <w:p>
            <w:pPr>
              <w:pStyle w:val="Compact"/>
              <w:jc w:val="left"/>
            </w:pPr>
            <w:r>
              <w:rPr>
                <w:sz w:val="15"/>
              </w:rPr>
              <w:t xml:space="preserve">GreenNode Bangkok Cluster</w:t>
            </w:r>
          </w:p>
        </w:tc>
        <w:tc>
          <w:tcPr>
            <w:tcW w:type="dxa" w:w="2504"/>
          </w:tcPr>
          <w:p>
            <w:pPr>
              <w:pStyle w:val="Compact"/>
              <w:jc w:val="left"/>
            </w:pPr>
            <w:r>
              <w:rPr>
                <w:sz w:val="15"/>
              </w:rPr>
              <w:t xml:space="preserve">Vietnamese firm in Thailand (private)</w:t>
            </w:r>
          </w:p>
        </w:tc>
        <w:tc>
          <w:tcPr>
            <w:tcW w:type="dxa" w:w="2504"/>
          </w:tcPr>
          <w:p>
            <w:pPr>
              <w:pStyle w:val="Compact"/>
              <w:jc w:val="left"/>
            </w:pPr>
            <w:r>
              <w:rPr>
                <w:sz w:val="15"/>
              </w:rPr>
              <w:t xml:space="preserve">2024-06-25</w:t>
            </w:r>
          </w:p>
        </w:tc>
        <w:tc>
          <w:tcPr>
            <w:tcW w:type="dxa" w:w="2504"/>
          </w:tcPr>
          <w:p>
            <w:pPr>
              <w:pStyle w:val="Compact"/>
              <w:jc w:val="left"/>
            </w:pPr>
            <w:r>
              <w:rPr>
                <w:sz w:val="15"/>
              </w:rPr>
              <w:t xml:space="preserve">1,024</w:t>
            </w:r>
          </w:p>
        </w:tc>
        <w:tc>
          <w:tcPr>
            <w:tcW w:type="dxa" w:w="2504"/>
          </w:tcPr>
          <w:p>
            <w:pPr>
              <w:pStyle w:val="Compact"/>
              <w:jc w:val="left"/>
            </w:pPr>
            <w:r>
              <w:rPr>
                <w:sz w:val="15"/>
              </w:rPr>
              <w:t xml:space="preserve">1.46</w:t>
            </w:r>
          </w:p>
        </w:tc>
      </w:tr>
      <w:tr>
        <w:tc>
          <w:tcPr>
            <w:tcW w:type="dxa" w:w="2504"/>
          </w:tcPr>
          <w:p>
            <w:pPr>
              <w:pStyle w:val="Compact"/>
              <w:jc w:val="left"/>
            </w:pPr>
            <w:r>
              <w:rPr>
                <w:sz w:val="15"/>
              </w:rPr>
              <w:t xml:space="preserve">Thailand</w:t>
            </w:r>
          </w:p>
        </w:tc>
        <w:tc>
          <w:tcPr>
            <w:tcW w:type="dxa" w:w="2504"/>
          </w:tcPr>
          <w:p>
            <w:pPr>
              <w:pStyle w:val="Compact"/>
              <w:jc w:val="left"/>
            </w:pPr>
            <w:r>
              <w:rPr>
                <w:sz w:val="15"/>
              </w:rPr>
              <w:t xml:space="preserve">SIAM AI HGX</w:t>
            </w:r>
          </w:p>
        </w:tc>
        <w:tc>
          <w:tcPr>
            <w:tcW w:type="dxa" w:w="2504"/>
          </w:tcPr>
          <w:p>
            <w:pPr>
              <w:pStyle w:val="Compact"/>
              <w:jc w:val="left"/>
            </w:pPr>
            <w:r>
              <w:rPr>
                <w:sz w:val="15"/>
              </w:rPr>
              <w:t xml:space="preserve">Thai (private)</w:t>
            </w:r>
          </w:p>
        </w:tc>
        <w:tc>
          <w:tcPr>
            <w:tcW w:type="dxa" w:w="2504"/>
          </w:tcPr>
          <w:p>
            <w:pPr>
              <w:pStyle w:val="Compact"/>
              <w:jc w:val="left"/>
            </w:pPr>
            <w:r>
              <w:rPr>
                <w:sz w:val="15"/>
              </w:rPr>
              <w:t xml:space="preserve">2024-09-12</w:t>
            </w:r>
          </w:p>
        </w:tc>
        <w:tc>
          <w:tcPr>
            <w:tcW w:type="dxa" w:w="2504"/>
          </w:tcPr>
          <w:p>
            <w:pPr>
              <w:pStyle w:val="Compact"/>
              <w:jc w:val="left"/>
            </w:pPr>
            <w:r>
              <w:rPr>
                <w:sz w:val="15"/>
              </w:rPr>
              <w:t xml:space="preserve">1,024</w:t>
            </w:r>
          </w:p>
        </w:tc>
        <w:tc>
          <w:tcPr>
            <w:tcW w:type="dxa" w:w="2504"/>
          </w:tcPr>
          <w:p>
            <w:pPr>
              <w:pStyle w:val="Compact"/>
              <w:jc w:val="left"/>
            </w:pPr>
            <w:r>
              <w:rPr>
                <w:sz w:val="15"/>
              </w:rPr>
              <w:t xml:space="preserve">1.46</w:t>
            </w:r>
          </w:p>
        </w:tc>
      </w:tr>
      <w:tr>
        <w:tc>
          <w:tcPr>
            <w:tcW w:type="dxa" w:w="2504"/>
          </w:tcPr>
          <w:p>
            <w:pPr>
              <w:pStyle w:val="Compact"/>
              <w:jc w:val="left"/>
            </w:pPr>
            <w:r>
              <w:rPr>
                <w:sz w:val="15"/>
              </w:rPr>
              <w:t xml:space="preserve">Thailand</w:t>
            </w:r>
          </w:p>
        </w:tc>
        <w:tc>
          <w:tcPr>
            <w:tcW w:type="dxa" w:w="2504"/>
          </w:tcPr>
          <w:p>
            <w:pPr>
              <w:pStyle w:val="Compact"/>
              <w:jc w:val="left"/>
            </w:pPr>
            <w:r>
              <w:rPr>
                <w:sz w:val="15"/>
              </w:rPr>
              <w:t xml:space="preserve">Alibaba Cloud in Thailand Phase 2</w:t>
            </w:r>
          </w:p>
        </w:tc>
        <w:tc>
          <w:tcPr>
            <w:tcW w:type="dxa" w:w="2504"/>
          </w:tcPr>
          <w:p>
            <w:pPr>
              <w:pStyle w:val="Compact"/>
              <w:jc w:val="left"/>
            </w:pPr>
            <w:r>
              <w:rPr>
                <w:sz w:val="15"/>
              </w:rPr>
              <w:t xml:space="preserve">foreign hyperscaler</w:t>
            </w:r>
          </w:p>
        </w:tc>
        <w:tc>
          <w:tcPr>
            <w:tcW w:type="dxa" w:w="2504"/>
          </w:tcPr>
          <w:p>
            <w:pPr>
              <w:pStyle w:val="Compact"/>
              <w:jc w:val="left"/>
            </w:pPr>
            <w:r>
              <w:rPr>
                <w:sz w:val="15"/>
              </w:rPr>
              <w:t xml:space="preserve">2025-01-15</w:t>
            </w:r>
          </w:p>
        </w:tc>
        <w:tc>
          <w:tcPr>
            <w:tcW w:type="dxa" w:w="2504"/>
          </w:tcPr>
          <w:p>
            <w:pPr>
              <w:pStyle w:val="Compact"/>
              <w:jc w:val="left"/>
            </w:pPr>
            <w:r>
              <w:rPr>
                <w:sz w:val="15"/>
              </w:rPr>
              <w:t xml:space="preserve">n/a</w:t>
            </w:r>
          </w:p>
        </w:tc>
        <w:tc>
          <w:tcPr>
            <w:tcW w:type="dxa" w:w="2504"/>
          </w:tcPr>
          <w:p>
            <w:pPr>
              <w:pStyle w:val="Compact"/>
              <w:jc w:val="left"/>
            </w:pPr>
            <w:r>
              <w:rPr>
                <w:sz w:val="15"/>
              </w:rPr>
              <w:t xml:space="preserve">n/a</w:t>
            </w:r>
          </w:p>
        </w:tc>
      </w:tr>
      <w:tr>
        <w:tc>
          <w:tcPr>
            <w:tcW w:type="dxa" w:w="2504"/>
          </w:tcPr>
          <w:p>
            <w:pPr>
              <w:pStyle w:val="Compact"/>
              <w:jc w:val="left"/>
            </w:pPr>
            <w:r>
              <w:rPr>
                <w:sz w:val="15"/>
              </w:rPr>
              <w:t xml:space="preserve">Vietnam</w:t>
            </w:r>
          </w:p>
        </w:tc>
        <w:tc>
          <w:tcPr>
            <w:tcW w:type="dxa" w:w="2504"/>
          </w:tcPr>
          <w:p>
            <w:pPr>
              <w:pStyle w:val="Compact"/>
              <w:jc w:val="left"/>
            </w:pPr>
            <w:r>
              <w:rPr>
                <w:sz w:val="15"/>
              </w:rPr>
              <w:t xml:space="preserve">Vingroup VinAI Research Superpod</w:t>
            </w:r>
          </w:p>
        </w:tc>
        <w:tc>
          <w:tcPr>
            <w:tcW w:type="dxa" w:w="2504"/>
          </w:tcPr>
          <w:p>
            <w:pPr>
              <w:pStyle w:val="Compact"/>
              <w:jc w:val="left"/>
            </w:pPr>
            <w:r>
              <w:rPr>
                <w:sz w:val="15"/>
              </w:rPr>
              <w:t xml:space="preserve">Vietnamese (private)</w:t>
            </w:r>
          </w:p>
        </w:tc>
        <w:tc>
          <w:tcPr>
            <w:tcW w:type="dxa" w:w="2504"/>
          </w:tcPr>
          <w:p>
            <w:pPr>
              <w:pStyle w:val="Compact"/>
              <w:jc w:val="left"/>
            </w:pPr>
            <w:r>
              <w:rPr>
                <w:sz w:val="15"/>
              </w:rPr>
              <w:t xml:space="preserve">2021-05-30</w:t>
            </w:r>
          </w:p>
        </w:tc>
        <w:tc>
          <w:tcPr>
            <w:tcW w:type="dxa" w:w="2504"/>
          </w:tcPr>
          <w:p>
            <w:pPr>
              <w:pStyle w:val="Compact"/>
              <w:jc w:val="left"/>
            </w:pPr>
            <w:r>
              <w:rPr>
                <w:sz w:val="15"/>
              </w:rPr>
              <w:t xml:space="preserve">50</w:t>
            </w:r>
          </w:p>
        </w:tc>
        <w:tc>
          <w:tcPr>
            <w:tcW w:type="dxa" w:w="2504"/>
          </w:tcPr>
          <w:p>
            <w:pPr>
              <w:pStyle w:val="Compact"/>
              <w:jc w:val="left"/>
            </w:pPr>
            <w:r>
              <w:rPr>
                <w:sz w:val="15"/>
              </w:rPr>
              <w:t xml:space="preserve">0.14</w:t>
            </w:r>
          </w:p>
        </w:tc>
      </w:tr>
    </w:tbl>
    <w:p>
      <w:pPr>
        <w:pStyle w:val="BodyText"/>
      </w:pPr>
      <w:r>
        <w:t xml:space="preserve">Domestic or regional private AI clusters listed in the four economies: 3 (Thailand 2, Viet Nam 1, Malaysia 0, Philippines 0). The two Thai clusters have 1,024 H100 equivalents (128 eight-GPU servers) and 1.46 MW, below the 2 MW data-centre condition and inside the 45 to 270 server range of the viability benchmark. Epoch lists large clusters only, so smaller providers are not represented.</w:t>
      </w:r>
    </w:p>
    <w:bookmarkEnd w:id="36"/>
    <w:bookmarkStart w:id="37" w:name="X14c45c988aff54368a86659b74671ccfb36f51a"/>
    <w:p>
      <w:pPr>
        <w:pStyle w:val="Heading4"/>
      </w:pPr>
      <w:r>
        <w:t xml:space="preserve">C. Project size against stated capacity thresholds (collected records, indicative)</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748"/>
        <w:gridCol w:w="2878"/>
        <w:gridCol w:w="2014"/>
        <w:gridCol w:w="2014"/>
        <w:gridCol w:w="2187"/>
        <w:gridCol w:w="2417"/>
        <w:gridCol w:w="2762"/>
      </w:tblGrid>
      <w:tr>
        <w:trPr>
          <w:tblHeader w:val="true"/>
        </w:trPr>
        <w:tc>
          <w:tcPr>
            <w:tcW w:type="dxa" w:w="748"/>
          </w:tcPr>
          <w:p>
            <w:pPr>
              <w:pStyle w:val="Compact"/>
              <w:jc w:val="left"/>
            </w:pPr>
            <w:r>
              <w:rPr>
                <w:b/>
                <w:sz w:val="15"/>
              </w:rPr>
              <w:t xml:space="preserve">Country</w:t>
            </w:r>
          </w:p>
        </w:tc>
        <w:tc>
          <w:tcPr>
            <w:tcW w:type="dxa" w:w="2878"/>
          </w:tcPr>
          <w:p>
            <w:pPr>
              <w:pStyle w:val="Compact"/>
              <w:jc w:val="left"/>
            </w:pPr>
            <w:r>
              <w:rPr>
                <w:b/>
                <w:sz w:val="15"/>
              </w:rPr>
              <w:t xml:space="preserve">Projects with stated IT load</w:t>
            </w:r>
          </w:p>
        </w:tc>
        <w:tc>
          <w:tcPr>
            <w:tcW w:type="dxa" w:w="2015"/>
          </w:tcPr>
          <w:p>
            <w:pPr>
              <w:pStyle w:val="Compact"/>
              <w:jc w:val="left"/>
            </w:pPr>
            <w:r>
              <w:rPr>
                <w:b/>
                <w:sz w:val="15"/>
              </w:rPr>
              <w:t xml:space="preserve">Smallest (MW)</w:t>
            </w:r>
          </w:p>
        </w:tc>
        <w:tc>
          <w:tcPr>
            <w:tcW w:type="dxa" w:w="2015"/>
          </w:tcPr>
          <w:p>
            <w:pPr>
              <w:pStyle w:val="Compact"/>
              <w:jc w:val="left"/>
            </w:pPr>
            <w:r>
              <w:rPr>
                <w:b/>
                <w:sz w:val="15"/>
              </w:rPr>
              <w:t xml:space="preserve">Median (MW)</w:t>
            </w:r>
          </w:p>
        </w:tc>
        <w:tc>
          <w:tcPr>
            <w:tcW w:type="dxa" w:w="2187"/>
          </w:tcPr>
          <w:p>
            <w:pPr>
              <w:pStyle w:val="Compact"/>
              <w:jc w:val="left"/>
            </w:pPr>
            <w:r>
              <w:rPr>
                <w:b/>
                <w:sz w:val="15"/>
              </w:rPr>
              <w:t xml:space="preserve">Largest (MW)</w:t>
            </w:r>
          </w:p>
        </w:tc>
        <w:tc>
          <w:tcPr>
            <w:tcW w:type="dxa" w:w="2418"/>
          </w:tcPr>
          <w:p>
            <w:pPr>
              <w:pStyle w:val="Compact"/>
              <w:jc w:val="left"/>
            </w:pPr>
            <w:r>
              <w:rPr>
                <w:b/>
                <w:sz w:val="15"/>
              </w:rPr>
              <w:t xml:space="preserve">Stated threshold (MW)</w:t>
            </w:r>
          </w:p>
        </w:tc>
        <w:tc>
          <w:tcPr>
            <w:tcW w:type="dxa" w:w="2763"/>
          </w:tcPr>
          <w:p>
            <w:pPr>
              <w:pStyle w:val="Compact"/>
              <w:jc w:val="left"/>
            </w:pPr>
            <w:r>
              <w:rPr>
                <w:b/>
                <w:sz w:val="15"/>
              </w:rPr>
              <w:t xml:space="preserve">Below threshold</w:t>
            </w:r>
          </w:p>
        </w:tc>
      </w:tr>
      <w:tr>
        <w:tc>
          <w:tcPr>
            <w:tcW w:type="dxa" w:w="748"/>
          </w:tcPr>
          <w:p>
            <w:pPr>
              <w:pStyle w:val="Compact"/>
              <w:jc w:val="left"/>
            </w:pPr>
            <w:r>
              <w:rPr>
                <w:sz w:val="15"/>
              </w:rPr>
              <w:t xml:space="preserve">Thailand</w:t>
            </w:r>
          </w:p>
        </w:tc>
        <w:tc>
          <w:tcPr>
            <w:tcW w:type="dxa" w:w="2878"/>
          </w:tcPr>
          <w:p>
            <w:pPr>
              <w:pStyle w:val="Compact"/>
              <w:jc w:val="left"/>
            </w:pPr>
            <w:r>
              <w:rPr>
                <w:sz w:val="15"/>
              </w:rPr>
              <w:t xml:space="preserve">18</w:t>
            </w:r>
          </w:p>
        </w:tc>
        <w:tc>
          <w:tcPr>
            <w:tcW w:type="dxa" w:w="2015"/>
          </w:tcPr>
          <w:p>
            <w:pPr>
              <w:pStyle w:val="Compact"/>
              <w:jc w:val="left"/>
            </w:pPr>
            <w:r>
              <w:rPr>
                <w:sz w:val="15"/>
              </w:rPr>
              <w:t xml:space="preserve">12</w:t>
            </w:r>
          </w:p>
        </w:tc>
        <w:tc>
          <w:tcPr>
            <w:tcW w:type="dxa" w:w="2015"/>
          </w:tcPr>
          <w:p>
            <w:pPr>
              <w:pStyle w:val="Compact"/>
              <w:jc w:val="left"/>
            </w:pPr>
            <w:r>
              <w:rPr>
                <w:sz w:val="15"/>
              </w:rPr>
              <w:t xml:space="preserve">108</w:t>
            </w:r>
          </w:p>
        </w:tc>
        <w:tc>
          <w:tcPr>
            <w:tcW w:type="dxa" w:w="2187"/>
          </w:tcPr>
          <w:p>
            <w:pPr>
              <w:pStyle w:val="Compact"/>
              <w:jc w:val="left"/>
            </w:pPr>
            <w:r>
              <w:rPr>
                <w:sz w:val="15"/>
              </w:rPr>
              <w:t xml:space="preserve">300</w:t>
            </w:r>
          </w:p>
        </w:tc>
        <w:tc>
          <w:tcPr>
            <w:tcW w:type="dxa" w:w="2418"/>
          </w:tcPr>
          <w:p>
            <w:pPr>
              <w:pStyle w:val="Compact"/>
              <w:jc w:val="left"/>
            </w:pPr>
            <w:r>
              <w:rPr>
                <w:sz w:val="15"/>
              </w:rPr>
              <w:t xml:space="preserve">2.0</w:t>
            </w:r>
          </w:p>
        </w:tc>
        <w:tc>
          <w:tcPr>
            <w:tcW w:type="dxa" w:w="2763"/>
          </w:tcPr>
          <w:p>
            <w:pPr>
              <w:pStyle w:val="Compact"/>
              <w:jc w:val="left"/>
            </w:pPr>
            <w:r>
              <w:rPr>
                <w:sz w:val="15"/>
              </w:rPr>
              <w:t xml:space="preserve">0</w:t>
            </w:r>
          </w:p>
        </w:tc>
      </w:tr>
      <w:tr>
        <w:tc>
          <w:tcPr>
            <w:tcW w:type="dxa" w:w="748"/>
          </w:tcPr>
          <w:p>
            <w:pPr>
              <w:pStyle w:val="Compact"/>
              <w:jc w:val="left"/>
            </w:pPr>
            <w:r>
              <w:rPr>
                <w:sz w:val="15"/>
              </w:rPr>
              <w:t xml:space="preserve">Malaysia</w:t>
            </w:r>
          </w:p>
        </w:tc>
        <w:tc>
          <w:tcPr>
            <w:tcW w:type="dxa" w:w="2878"/>
          </w:tcPr>
          <w:p>
            <w:pPr>
              <w:pStyle w:val="Compact"/>
              <w:jc w:val="left"/>
            </w:pPr>
            <w:r>
              <w:rPr>
                <w:sz w:val="15"/>
              </w:rPr>
              <w:t xml:space="preserve">3</w:t>
            </w:r>
          </w:p>
        </w:tc>
        <w:tc>
          <w:tcPr>
            <w:tcW w:type="dxa" w:w="2015"/>
          </w:tcPr>
          <w:p>
            <w:pPr>
              <w:pStyle w:val="Compact"/>
              <w:jc w:val="left"/>
            </w:pPr>
            <w:r>
              <w:rPr>
                <w:sz w:val="15"/>
              </w:rPr>
              <w:t xml:space="preserve">120</w:t>
            </w:r>
          </w:p>
        </w:tc>
        <w:tc>
          <w:tcPr>
            <w:tcW w:type="dxa" w:w="2015"/>
          </w:tcPr>
          <w:p>
            <w:pPr>
              <w:pStyle w:val="Compact"/>
              <w:jc w:val="left"/>
            </w:pPr>
            <w:r>
              <w:rPr>
                <w:sz w:val="15"/>
              </w:rPr>
              <w:t xml:space="preserve">150</w:t>
            </w:r>
          </w:p>
        </w:tc>
        <w:tc>
          <w:tcPr>
            <w:tcW w:type="dxa" w:w="2187"/>
          </w:tcPr>
          <w:p>
            <w:pPr>
              <w:pStyle w:val="Compact"/>
              <w:jc w:val="left"/>
            </w:pPr>
            <w:r>
              <w:rPr>
                <w:sz w:val="15"/>
              </w:rPr>
              <w:t xml:space="preserve">256</w:t>
            </w:r>
          </w:p>
        </w:tc>
        <w:tc>
          <w:tcPr>
            <w:tcW w:type="dxa" w:w="2418"/>
          </w:tcPr>
          <w:p>
            <w:pPr>
              <w:pStyle w:val="Compact"/>
              <w:jc w:val="left"/>
            </w:pPr>
            <w:r>
              <w:rPr>
                <w:sz w:val="15"/>
              </w:rPr>
              <w:t xml:space="preserve">0.85</w:t>
            </w:r>
          </w:p>
        </w:tc>
        <w:tc>
          <w:tcPr>
            <w:tcW w:type="dxa" w:w="2763"/>
          </w:tcPr>
          <w:p>
            <w:pPr>
              <w:pStyle w:val="Compact"/>
              <w:jc w:val="left"/>
            </w:pPr>
            <w:r>
              <w:rPr>
                <w:sz w:val="15"/>
              </w:rPr>
              <w:t xml:space="preserve">0</w:t>
            </w:r>
          </w:p>
        </w:tc>
      </w:tr>
      <w:tr>
        <w:tc>
          <w:tcPr>
            <w:tcW w:type="dxa" w:w="748"/>
          </w:tcPr>
          <w:p>
            <w:pPr>
              <w:pStyle w:val="Compact"/>
              <w:jc w:val="left"/>
            </w:pPr>
            <w:r>
              <w:rPr>
                <w:sz w:val="15"/>
              </w:rPr>
              <w:t xml:space="preserve">Viet Nam</w:t>
            </w:r>
          </w:p>
        </w:tc>
        <w:tc>
          <w:tcPr>
            <w:tcW w:type="dxa" w:w="2878"/>
          </w:tcPr>
          <w:p>
            <w:pPr>
              <w:pStyle w:val="Compact"/>
              <w:jc w:val="left"/>
            </w:pPr>
            <w:r>
              <w:rPr>
                <w:sz w:val="15"/>
              </w:rPr>
              <w:t xml:space="preserve">6</w:t>
            </w:r>
          </w:p>
        </w:tc>
        <w:tc>
          <w:tcPr>
            <w:tcW w:type="dxa" w:w="2015"/>
          </w:tcPr>
          <w:p>
            <w:pPr>
              <w:pStyle w:val="Compact"/>
              <w:jc w:val="left"/>
            </w:pPr>
            <w:r>
              <w:rPr>
                <w:sz w:val="15"/>
              </w:rPr>
              <w:t xml:space="preserve">52</w:t>
            </w:r>
          </w:p>
        </w:tc>
        <w:tc>
          <w:tcPr>
            <w:tcW w:type="dxa" w:w="2015"/>
          </w:tcPr>
          <w:p>
            <w:pPr>
              <w:pStyle w:val="Compact"/>
              <w:jc w:val="left"/>
            </w:pPr>
            <w:r>
              <w:rPr>
                <w:sz w:val="15"/>
              </w:rPr>
              <w:t xml:space="preserve">60</w:t>
            </w:r>
          </w:p>
        </w:tc>
        <w:tc>
          <w:tcPr>
            <w:tcW w:type="dxa" w:w="2187"/>
          </w:tcPr>
          <w:p>
            <w:pPr>
              <w:pStyle w:val="Compact"/>
              <w:jc w:val="left"/>
            </w:pPr>
            <w:r>
              <w:rPr>
                <w:sz w:val="15"/>
              </w:rPr>
              <w:t xml:space="preserve">140</w:t>
            </w:r>
          </w:p>
        </w:tc>
        <w:tc>
          <w:tcPr>
            <w:tcW w:type="dxa" w:w="2418"/>
          </w:tcPr>
          <w:p>
            <w:pPr>
              <w:pStyle w:val="Compact"/>
              <w:jc w:val="left"/>
            </w:pPr>
            <w:r>
              <w:rPr>
                <w:sz w:val="15"/>
              </w:rPr>
              <w:t xml:space="preserve">none stated</w:t>
            </w:r>
          </w:p>
        </w:tc>
        <w:tc>
          <w:tcPr>
            <w:tcW w:type="dxa" w:w="2763"/>
          </w:tcPr>
          <w:p>
            <w:pPr>
              <w:pStyle w:val="Compact"/>
              <w:jc w:val="left"/>
            </w:pPr>
            <w:r>
              <w:rPr>
                <w:sz w:val="15"/>
              </w:rPr>
              <w:t xml:space="preserve">n/a</w:t>
            </w:r>
          </w:p>
        </w:tc>
      </w:tr>
      <w:tr>
        <w:tc>
          <w:tcPr>
            <w:tcW w:type="dxa" w:w="748"/>
          </w:tcPr>
          <w:p>
            <w:pPr>
              <w:pStyle w:val="Compact"/>
              <w:jc w:val="left"/>
            </w:pPr>
            <w:r>
              <w:rPr>
                <w:sz w:val="15"/>
              </w:rPr>
              <w:t xml:space="preserve">Philippines</w:t>
            </w:r>
          </w:p>
        </w:tc>
        <w:tc>
          <w:tcPr>
            <w:tcW w:type="dxa" w:w="2878"/>
          </w:tcPr>
          <w:p>
            <w:pPr>
              <w:pStyle w:val="Compact"/>
              <w:jc w:val="left"/>
            </w:pPr>
            <w:r>
              <w:rPr>
                <w:sz w:val="15"/>
              </w:rPr>
              <w:t xml:space="preserve">6</w:t>
            </w:r>
          </w:p>
        </w:tc>
        <w:tc>
          <w:tcPr>
            <w:tcW w:type="dxa" w:w="2015"/>
          </w:tcPr>
          <w:p>
            <w:pPr>
              <w:pStyle w:val="Compact"/>
              <w:jc w:val="left"/>
            </w:pPr>
            <w:r>
              <w:rPr>
                <w:sz w:val="15"/>
              </w:rPr>
              <w:t xml:space="preserve">10</w:t>
            </w:r>
          </w:p>
        </w:tc>
        <w:tc>
          <w:tcPr>
            <w:tcW w:type="dxa" w:w="2015"/>
          </w:tcPr>
          <w:p>
            <w:pPr>
              <w:pStyle w:val="Compact"/>
              <w:jc w:val="left"/>
            </w:pPr>
            <w:r>
              <w:rPr>
                <w:sz w:val="15"/>
              </w:rPr>
              <w:t xml:space="preserve">60</w:t>
            </w:r>
          </w:p>
        </w:tc>
        <w:tc>
          <w:tcPr>
            <w:tcW w:type="dxa" w:w="2187"/>
          </w:tcPr>
          <w:p>
            <w:pPr>
              <w:pStyle w:val="Compact"/>
              <w:jc w:val="left"/>
            </w:pPr>
            <w:r>
              <w:rPr>
                <w:sz w:val="15"/>
              </w:rPr>
              <w:t xml:space="preserve">124</w:t>
            </w:r>
          </w:p>
        </w:tc>
        <w:tc>
          <w:tcPr>
            <w:tcW w:type="dxa" w:w="2418"/>
          </w:tcPr>
          <w:p>
            <w:pPr>
              <w:pStyle w:val="Compact"/>
              <w:jc w:val="left"/>
            </w:pPr>
            <w:r>
              <w:rPr>
                <w:sz w:val="15"/>
              </w:rPr>
              <w:t xml:space="preserve">none stated</w:t>
            </w:r>
          </w:p>
        </w:tc>
        <w:tc>
          <w:tcPr>
            <w:tcW w:type="dxa" w:w="2763"/>
          </w:tcPr>
          <w:p>
            <w:pPr>
              <w:pStyle w:val="Compact"/>
              <w:jc w:val="left"/>
            </w:pPr>
            <w:r>
              <w:rPr>
                <w:sz w:val="15"/>
              </w:rPr>
              <w:t xml:space="preserve">n/a</w:t>
            </w:r>
          </w:p>
        </w:tc>
      </w:tr>
    </w:tbl>
    <w:p>
      <w:pPr>
        <w:pStyle w:val="BodyText"/>
      </w:pPr>
      <w:r>
        <w:t xml:space="preserve">Approved or announced data-centre projects are 10 to 300 MW, six or more times the stated minima, so the capacity thresholds do not bind on the projects that appear in public records.</w:t>
      </w:r>
    </w:p>
    <w:bookmarkEnd w:id="37"/>
    <w:bookmarkStart w:id="38" w:name="Xe8fd085cb27eb96e43d79b00fb8078bde053e23"/>
    <w:p>
      <w:pPr>
        <w:pStyle w:val="Heading4"/>
      </w:pPr>
      <w:r>
        <w:t xml:space="preserve">D. Predictions fixed in advance and what the data show</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5007"/>
        <w:gridCol w:w="5007"/>
        <w:gridCol w:w="5007"/>
      </w:tblGrid>
      <w:tr>
        <w:trPr>
          <w:tblHeader w:val="true"/>
        </w:trPr>
        <w:tc>
          <w:tcPr>
            <w:tcW w:type="dxa" w:w="5008"/>
          </w:tcPr>
          <w:p>
            <w:pPr>
              <w:pStyle w:val="Compact"/>
              <w:jc w:val="left"/>
            </w:pPr>
            <w:r>
              <w:rPr>
                <w:b/>
                <w:sz w:val="15"/>
              </w:rPr>
              <w:t xml:space="preserve">Prediction</w:t>
            </w:r>
          </w:p>
        </w:tc>
        <w:tc>
          <w:tcPr>
            <w:tcW w:type="dxa" w:w="5008"/>
          </w:tcPr>
          <w:p>
            <w:pPr>
              <w:pStyle w:val="Compact"/>
              <w:jc w:val="left"/>
            </w:pPr>
            <w:r>
              <w:rPr>
                <w:b/>
                <w:sz w:val="15"/>
              </w:rPr>
              <w:t xml:space="preserve">Result</w:t>
            </w:r>
          </w:p>
        </w:tc>
        <w:tc>
          <w:tcPr>
            <w:tcW w:type="dxa" w:w="5008"/>
          </w:tcPr>
          <w:p>
            <w:pPr>
              <w:pStyle w:val="Compact"/>
              <w:jc w:val="left"/>
            </w:pPr>
            <w:r>
              <w:rPr>
                <w:b/>
                <w:sz w:val="15"/>
              </w:rPr>
              <w:t xml:space="preserve">Reading</w:t>
            </w:r>
          </w:p>
        </w:tc>
      </w:tr>
      <w:tr>
        <w:tc>
          <w:tcPr>
            <w:tcW w:type="dxa" w:w="5008"/>
          </w:tcPr>
          <w:p>
            <w:pPr>
              <w:pStyle w:val="Compact"/>
              <w:jc w:val="left"/>
            </w:pPr>
            <w:r>
              <w:rPr>
                <w:sz w:val="15"/>
              </w:rPr>
              <w:t xml:space="preserve">P1 scale gate and project size</w:t>
            </w:r>
          </w:p>
        </w:tc>
        <w:tc>
          <w:tcPr>
            <w:tcW w:type="dxa" w:w="5008"/>
          </w:tcPr>
          <w:p>
            <w:pPr>
              <w:pStyle w:val="Compact"/>
              <w:jc w:val="left"/>
            </w:pPr>
            <w:r>
              <w:rPr>
                <w:sz w:val="15"/>
              </w:rPr>
              <w:t xml:space="preserve">Supported (rank correlation 1.00, four Thai routes)</w:t>
            </w:r>
          </w:p>
        </w:tc>
        <w:tc>
          <w:tcPr>
            <w:tcW w:type="dxa" w:w="5008"/>
          </w:tcPr>
          <w:p>
            <w:pPr>
              <w:pStyle w:val="Compact"/>
              <w:jc w:val="left"/>
            </w:pPr>
            <w:r>
              <w:rPr>
                <w:sz w:val="15"/>
              </w:rPr>
              <w:t xml:space="preserve">Mean project size rises with the capital barrier. Two routes rest on one project.</w:t>
            </w:r>
          </w:p>
        </w:tc>
      </w:tr>
      <w:tr>
        <w:tc>
          <w:tcPr>
            <w:tcW w:type="dxa" w:w="5008"/>
          </w:tcPr>
          <w:p>
            <w:pPr>
              <w:pStyle w:val="Compact"/>
              <w:jc w:val="left"/>
            </w:pPr>
            <w:r>
              <w:rPr>
                <w:sz w:val="15"/>
              </w:rPr>
              <w:t xml:space="preserve">P2 barrier and domestic share</w:t>
            </w:r>
          </w:p>
        </w:tc>
        <w:tc>
          <w:tcPr>
            <w:tcW w:type="dxa" w:w="5008"/>
          </w:tcPr>
          <w:p>
            <w:pPr>
              <w:pStyle w:val="Compact"/>
              <w:jc w:val="left"/>
            </w:pPr>
            <w:r>
              <w:rPr>
                <w:sz w:val="15"/>
              </w:rPr>
              <w:t xml:space="preserve">Partly supported (rank correlation -0.80)</w:t>
            </w:r>
          </w:p>
        </w:tc>
        <w:tc>
          <w:tcPr>
            <w:tcW w:type="dxa" w:w="5008"/>
          </w:tcPr>
          <w:p>
            <w:pPr>
              <w:pStyle w:val="Compact"/>
              <w:jc w:val="left"/>
            </w:pPr>
            <w:r>
              <w:rPr>
                <w:sz w:val="15"/>
              </w:rPr>
              <w:t xml:space="preserve">Thai-held share falls with the index except in the cloud route, which has one Thai-owned project.</w:t>
            </w:r>
          </w:p>
        </w:tc>
      </w:tr>
      <w:tr>
        <w:tc>
          <w:tcPr>
            <w:tcW w:type="dxa" w:w="5008"/>
          </w:tcPr>
          <w:p>
            <w:pPr>
              <w:pStyle w:val="Compact"/>
              <w:jc w:val="left"/>
            </w:pPr>
            <w:r>
              <w:rPr>
                <w:sz w:val="15"/>
              </w:rPr>
              <w:t xml:space="preserve">P3 bunching at the threshold</w:t>
            </w:r>
          </w:p>
        </w:tc>
        <w:tc>
          <w:tcPr>
            <w:tcW w:type="dxa" w:w="5008"/>
          </w:tcPr>
          <w:p>
            <w:pPr>
              <w:pStyle w:val="Compact"/>
              <w:jc w:val="left"/>
            </w:pPr>
            <w:r>
              <w:rPr>
                <w:sz w:val="15"/>
              </w:rPr>
              <w:t xml:space="preserve">Not supported as stated</w:t>
            </w:r>
          </w:p>
        </w:tc>
        <w:tc>
          <w:tcPr>
            <w:tcW w:type="dxa" w:w="5008"/>
          </w:tcPr>
          <w:p>
            <w:pPr>
              <w:pStyle w:val="Compact"/>
              <w:jc w:val="left"/>
            </w:pPr>
            <w:r>
              <w:rPr>
                <w:sz w:val="15"/>
              </w:rPr>
              <w:t xml:space="preserve">Projects start far above the stated minima (12 MW against 2 MW; 120 MW against 0.85 MW), so thresholds do not bind on these projects.</w:t>
            </w:r>
          </w:p>
        </w:tc>
      </w:tr>
      <w:tr>
        <w:tc>
          <w:tcPr>
            <w:tcW w:type="dxa" w:w="5008"/>
          </w:tcPr>
          <w:p>
            <w:pPr>
              <w:pStyle w:val="Compact"/>
              <w:jc w:val="left"/>
            </w:pPr>
            <w:r>
              <w:rPr>
                <w:sz w:val="15"/>
              </w:rPr>
              <w:t xml:space="preserve">P4 friction on low-capital routes</w:t>
            </w:r>
          </w:p>
        </w:tc>
        <w:tc>
          <w:tcPr>
            <w:tcW w:type="dxa" w:w="5008"/>
          </w:tcPr>
          <w:p>
            <w:pPr>
              <w:pStyle w:val="Compact"/>
              <w:jc w:val="left"/>
            </w:pPr>
            <w:r>
              <w:rPr>
                <w:sz w:val="15"/>
              </w:rPr>
              <w:t xml:space="preserve">Inconclusive</w:t>
            </w:r>
          </w:p>
        </w:tc>
        <w:tc>
          <w:tcPr>
            <w:tcW w:type="dxa" w:w="5008"/>
          </w:tcPr>
          <w:p>
            <w:pPr>
              <w:pStyle w:val="Compact"/>
              <w:jc w:val="left"/>
            </w:pPr>
            <w:r>
              <w:rPr>
                <w:sz w:val="15"/>
              </w:rPr>
              <w:t xml:space="preserve">Software route: 96 approved projects; cloud route: one project known to us, because BOI approvals for the cloud activity were not obtained; no verified small project under Malaysia Digital or the Viet Nam cloud listing.</w:t>
            </w:r>
          </w:p>
        </w:tc>
      </w:tr>
      <w:tr>
        <w:tc>
          <w:tcPr>
            <w:tcW w:type="dxa" w:w="5008"/>
          </w:tcPr>
          <w:p>
            <w:pPr>
              <w:pStyle w:val="Compact"/>
              <w:jc w:val="left"/>
            </w:pPr>
            <w:r>
              <w:rPr>
                <w:sz w:val="15"/>
              </w:rPr>
              <w:t xml:space="preserve">P5 rule-light systems do not guarantee domestic entry</w:t>
            </w:r>
          </w:p>
        </w:tc>
        <w:tc>
          <w:tcPr>
            <w:tcW w:type="dxa" w:w="5008"/>
          </w:tcPr>
          <w:p>
            <w:pPr>
              <w:pStyle w:val="Compact"/>
              <w:jc w:val="left"/>
            </w:pPr>
            <w:r>
              <w:rPr>
                <w:sz w:val="15"/>
              </w:rPr>
              <w:t xml:space="preserve">Consistent, coverage-limited</w:t>
            </w:r>
          </w:p>
        </w:tc>
        <w:tc>
          <w:tcPr>
            <w:tcW w:type="dxa" w:w="5008"/>
          </w:tcPr>
          <w:p>
            <w:pPr>
              <w:pStyle w:val="Compact"/>
              <w:jc w:val="left"/>
            </w:pPr>
            <w:r>
              <w:rPr>
                <w:sz w:val="15"/>
              </w:rPr>
              <w:t xml:space="preserve">Domestic private AI clusters: Thailand 2, Viet Nam 1, Malaysia 0, Philippines 0; the two systems without capital rules (Viet Nam, Philippines) have no more than Thailand.</w:t>
            </w:r>
          </w:p>
        </w:tc>
      </w:tr>
      <w:tr>
        <w:tc>
          <w:tcPr>
            <w:tcW w:type="dxa" w:w="5008"/>
          </w:tcPr>
          <w:p>
            <w:pPr>
              <w:pStyle w:val="Compact"/>
              <w:jc w:val="left"/>
            </w:pPr>
            <w:r>
              <w:rPr>
                <w:sz w:val="15"/>
              </w:rPr>
              <w:t xml:space="preserve">P6a (exploratory) lower entry-route barrier, more digital greenfield investment</w:t>
            </w:r>
          </w:p>
        </w:tc>
        <w:tc>
          <w:tcPr>
            <w:tcW w:type="dxa" w:w="5008"/>
          </w:tcPr>
          <w:p>
            <w:pPr>
              <w:pStyle w:val="Compact"/>
              <w:jc w:val="left"/>
            </w:pPr>
            <w:r>
              <w:rPr>
                <w:sz w:val="15"/>
              </w:rPr>
              <w:t xml:space="preserve">Consistent (-0.89, four countries)</w:t>
            </w:r>
          </w:p>
        </w:tc>
        <w:tc>
          <w:tcPr>
            <w:tcW w:type="dxa" w:w="5008"/>
          </w:tcPr>
          <w:p>
            <w:pPr>
              <w:pStyle w:val="Compact"/>
              <w:jc w:val="left"/>
            </w:pPr>
            <w:r>
              <w:rPr>
                <w:sz w:val="15"/>
              </w:rPr>
              <w:t xml:space="preserve">Malaysia and Viet Nam, with the lowest entry scores, attract the most; the Philippines, with a higher score, is outside the top ten.</w:t>
            </w:r>
          </w:p>
        </w:tc>
      </w:tr>
      <w:tr>
        <w:tc>
          <w:tcPr>
            <w:tcW w:type="dxa" w:w="5008"/>
          </w:tcPr>
          <w:p>
            <w:pPr>
              <w:pStyle w:val="Compact"/>
              <w:jc w:val="left"/>
            </w:pPr>
            <w:r>
              <w:rPr>
                <w:sz w:val="15"/>
              </w:rPr>
              <w:t xml:space="preserve">P6b (exploratory) higher data-centre route barrier, less data-centre investment</w:t>
            </w:r>
          </w:p>
        </w:tc>
        <w:tc>
          <w:tcPr>
            <w:tcW w:type="dxa" w:w="5008"/>
          </w:tcPr>
          <w:p>
            <w:pPr>
              <w:pStyle w:val="Compact"/>
              <w:jc w:val="left"/>
            </w:pPr>
            <w:r>
              <w:rPr>
                <w:sz w:val="15"/>
              </w:rPr>
              <w:t xml:space="preserve">Not supported (+0.50, three countries)</w:t>
            </w:r>
          </w:p>
        </w:tc>
        <w:tc>
          <w:tcPr>
            <w:tcW w:type="dxa" w:w="5008"/>
          </w:tcPr>
          <w:p>
            <w:pPr>
              <w:pStyle w:val="Compact"/>
              <w:jc w:val="left"/>
            </w:pPr>
            <w:r>
              <w:rPr>
                <w:sz w:val="15"/>
              </w:rPr>
              <w:t xml:space="preserve">Malaysia has the highest data-centre route score and the largest data-centre investment.</w:t>
            </w:r>
          </w:p>
        </w:tc>
      </w:tr>
    </w:tbl>
    <w:p>
      <w:pPr>
        <w:pStyle w:val="BodyText"/>
      </w:pPr>
      <w:r>
        <w:t xml:space="preserve">Counter-evidence to the design reading: capacity thresholds are not where entrants cluster, which fits H1 (cost) as an explanation of why thresholds sit near facility scale.</w:t>
      </w:r>
    </w:p>
    <w:bookmarkEnd w:id="38"/>
    <w:bookmarkStart w:id="39" w:name="e.-country-level-exploratory"/>
    <w:p>
      <w:pPr>
        <w:pStyle w:val="Heading4"/>
      </w:pPr>
      <w:r>
        <w:t xml:space="preserve">E. Country level (exploratory)</w:t>
      </w:r>
    </w:p>
    <w:tbl>
      <w:tblPr>
        <w:tblStyle w:val="Table"/>
        <w:tblLayout w:type="fixed"/>
        <w:tblLook w:firstRow="1" w:lastRow="0" w:firstColumn="0" w:lastColumn="0" w:noHBand="0" w:noVBand="0" w:val="0020"/>
        <w:jc w:val="start"/>
        <w:tblBorders>
          <w:top w:val="single" w:sz="4" w:color="999999"/>
          <w:left w:val="single" w:sz="4" w:color="999999"/>
          <w:bottom w:val="single" w:sz="4" w:color="999999"/>
          <w:right w:val="single" w:sz="4" w:color="999999"/>
          <w:insideH w:val="single" w:sz="4" w:color="999999"/>
          <w:insideV w:val="single" w:sz="4" w:color="999999"/>
        </w:tblBorders>
        <w:tblLayout w:type="fixed"/>
        <w:tblW w:w="15023" w:type="dxa"/>
      </w:tblPr>
      <w:tblGrid>
        <w:gridCol w:w="715"/>
        <w:gridCol w:w="2861"/>
        <w:gridCol w:w="3577"/>
        <w:gridCol w:w="4292"/>
        <w:gridCol w:w="3577"/>
      </w:tblGrid>
      <w:tr>
        <w:trPr>
          <w:tblHeader w:val="true"/>
        </w:trPr>
        <w:tc>
          <w:tcPr>
            <w:tcW w:type="dxa" w:w="715"/>
          </w:tcPr>
          <w:p>
            <w:pPr>
              <w:pStyle w:val="Compact"/>
              <w:jc w:val="left"/>
            </w:pPr>
            <w:r>
              <w:rPr>
                <w:b/>
                <w:sz w:val="15"/>
              </w:rPr>
              <w:t xml:space="preserve">Country</w:t>
            </w:r>
          </w:p>
        </w:tc>
        <w:tc>
          <w:tcPr>
            <w:tcW w:type="dxa" w:w="2862"/>
          </w:tcPr>
          <w:p>
            <w:pPr>
              <w:pStyle w:val="Compact"/>
              <w:jc w:val="left"/>
            </w:pPr>
            <w:r>
              <w:rPr>
                <w:b/>
                <w:sz w:val="15"/>
              </w:rPr>
              <w:t xml:space="preserve">Entry-route score</w:t>
            </w:r>
          </w:p>
        </w:tc>
        <w:tc>
          <w:tcPr>
            <w:tcW w:type="dxa" w:w="3577"/>
          </w:tcPr>
          <w:p>
            <w:pPr>
              <w:pStyle w:val="Compact"/>
              <w:jc w:val="left"/>
            </w:pPr>
            <w:r>
              <w:rPr>
                <w:b/>
                <w:sz w:val="15"/>
              </w:rPr>
              <w:t xml:space="preserve">Data-centre route score</w:t>
            </w:r>
          </w:p>
        </w:tc>
        <w:tc>
          <w:tcPr>
            <w:tcW w:type="dxa" w:w="4292"/>
          </w:tcPr>
          <w:p>
            <w:pPr>
              <w:pStyle w:val="Compact"/>
              <w:jc w:val="left"/>
            </w:pPr>
            <w:r>
              <w:rPr>
                <w:b/>
                <w:sz w:val="15"/>
              </w:rPr>
              <w:t xml:space="preserve">Digital greenfield announced 2020-2024 (US$ billion)</w:t>
            </w:r>
          </w:p>
        </w:tc>
        <w:tc>
          <w:tcPr>
            <w:tcW w:type="dxa" w:w="3577"/>
          </w:tcPr>
          <w:p>
            <w:pPr>
              <w:pStyle w:val="Compact"/>
              <w:jc w:val="left"/>
            </w:pPr>
            <w:r>
              <w:rPr>
                <w:b/>
                <w:sz w:val="15"/>
              </w:rPr>
              <w:t xml:space="preserve">Sovereign-fund data-centre projects 2020-2024 (number; US$ million)</w:t>
            </w:r>
          </w:p>
        </w:tc>
      </w:tr>
      <w:tr>
        <w:tc>
          <w:tcPr>
            <w:tcW w:type="dxa" w:w="715"/>
          </w:tcPr>
          <w:p>
            <w:pPr>
              <w:pStyle w:val="Compact"/>
              <w:jc w:val="left"/>
            </w:pPr>
            <w:r>
              <w:rPr>
                <w:sz w:val="15"/>
              </w:rPr>
              <w:t xml:space="preserve">Malaysia</w:t>
            </w:r>
          </w:p>
        </w:tc>
        <w:tc>
          <w:tcPr>
            <w:tcW w:type="dxa" w:w="2862"/>
          </w:tcPr>
          <w:p>
            <w:pPr>
              <w:pStyle w:val="Compact"/>
              <w:jc w:val="left"/>
            </w:pPr>
            <w:r>
              <w:rPr>
                <w:sz w:val="15"/>
              </w:rPr>
              <w:t xml:space="preserve">0.46</w:t>
            </w:r>
          </w:p>
        </w:tc>
        <w:tc>
          <w:tcPr>
            <w:tcW w:type="dxa" w:w="3577"/>
          </w:tcPr>
          <w:p>
            <w:pPr>
              <w:pStyle w:val="Compact"/>
              <w:jc w:val="left"/>
            </w:pPr>
            <w:r>
              <w:rPr>
                <w:sz w:val="15"/>
              </w:rPr>
              <w:t xml:space="preserve">0.69</w:t>
            </w:r>
          </w:p>
        </w:tc>
        <w:tc>
          <w:tcPr>
            <w:tcW w:type="dxa" w:w="4292"/>
          </w:tcPr>
          <w:p>
            <w:pPr>
              <w:pStyle w:val="Compact"/>
              <w:jc w:val="left"/>
            </w:pPr>
            <w:r>
              <w:rPr>
                <w:sz w:val="15"/>
              </w:rPr>
              <w:t xml:space="preserve">74</w:t>
            </w:r>
          </w:p>
        </w:tc>
        <w:tc>
          <w:tcPr>
            <w:tcW w:type="dxa" w:w="3577"/>
          </w:tcPr>
          <w:p>
            <w:pPr>
              <w:pStyle w:val="Compact"/>
              <w:jc w:val="left"/>
            </w:pPr>
            <w:r>
              <w:rPr>
                <w:sz w:val="15"/>
              </w:rPr>
              <w:t xml:space="preserve">44; 2,153</w:t>
            </w:r>
          </w:p>
        </w:tc>
      </w:tr>
      <w:tr>
        <w:tc>
          <w:tcPr>
            <w:tcW w:type="dxa" w:w="715"/>
          </w:tcPr>
          <w:p>
            <w:pPr>
              <w:pStyle w:val="Compact"/>
              <w:jc w:val="left"/>
            </w:pPr>
            <w:r>
              <w:rPr>
                <w:sz w:val="15"/>
              </w:rPr>
              <w:t xml:space="preserve">Philippines</w:t>
            </w:r>
          </w:p>
        </w:tc>
        <w:tc>
          <w:tcPr>
            <w:tcW w:type="dxa" w:w="2862"/>
          </w:tcPr>
          <w:p>
            <w:pPr>
              <w:pStyle w:val="Compact"/>
              <w:jc w:val="left"/>
            </w:pPr>
            <w:r>
              <w:rPr>
                <w:sz w:val="15"/>
              </w:rPr>
              <w:t xml:space="preserve">0.54</w:t>
            </w:r>
          </w:p>
        </w:tc>
        <w:tc>
          <w:tcPr>
            <w:tcW w:type="dxa" w:w="3577"/>
          </w:tcPr>
          <w:p>
            <w:pPr>
              <w:pStyle w:val="Compact"/>
              <w:jc w:val="left"/>
            </w:pPr>
            <w:r>
              <w:rPr>
                <w:sz w:val="15"/>
              </w:rPr>
              <w:t xml:space="preserve">0.54</w:t>
            </w:r>
          </w:p>
        </w:tc>
        <w:tc>
          <w:tcPr>
            <w:tcW w:type="dxa" w:w="4292"/>
          </w:tcPr>
          <w:p>
            <w:pPr>
              <w:pStyle w:val="Compact"/>
              <w:jc w:val="left"/>
            </w:pPr>
            <w:r>
              <w:rPr>
                <w:sz w:val="15"/>
              </w:rPr>
              <w:t xml:space="preserve">below 16 (outside top ten)</w:t>
            </w:r>
          </w:p>
        </w:tc>
        <w:tc>
          <w:tcPr>
            <w:tcW w:type="dxa" w:w="3577"/>
          </w:tcPr>
          <w:p>
            <w:pPr>
              <w:pStyle w:val="Compact"/>
              <w:jc w:val="left"/>
            </w:pPr>
            <w:r>
              <w:rPr>
                <w:sz w:val="15"/>
              </w:rPr>
              <w:t xml:space="preserve">4; 763</w:t>
            </w:r>
          </w:p>
        </w:tc>
      </w:tr>
      <w:tr>
        <w:tc>
          <w:tcPr>
            <w:tcW w:type="dxa" w:w="715"/>
          </w:tcPr>
          <w:p>
            <w:pPr>
              <w:pStyle w:val="Compact"/>
              <w:jc w:val="left"/>
            </w:pPr>
            <w:r>
              <w:rPr>
                <w:sz w:val="15"/>
              </w:rPr>
              <w:t xml:space="preserve">Thailand</w:t>
            </w:r>
          </w:p>
        </w:tc>
        <w:tc>
          <w:tcPr>
            <w:tcW w:type="dxa" w:w="2862"/>
          </w:tcPr>
          <w:p>
            <w:pPr>
              <w:pStyle w:val="Compact"/>
              <w:jc w:val="left"/>
            </w:pPr>
            <w:r>
              <w:rPr>
                <w:sz w:val="15"/>
              </w:rPr>
              <w:t xml:space="preserve">0.54</w:t>
            </w:r>
          </w:p>
        </w:tc>
        <w:tc>
          <w:tcPr>
            <w:tcW w:type="dxa" w:w="3577"/>
          </w:tcPr>
          <w:p>
            <w:pPr>
              <w:pStyle w:val="Compact"/>
              <w:jc w:val="left"/>
            </w:pPr>
            <w:r>
              <w:rPr>
                <w:sz w:val="15"/>
              </w:rPr>
              <w:t xml:space="preserve">0.64</w:t>
            </w:r>
          </w:p>
        </w:tc>
        <w:tc>
          <w:tcPr>
            <w:tcW w:type="dxa" w:w="4292"/>
          </w:tcPr>
          <w:p>
            <w:pPr>
              <w:pStyle w:val="Compact"/>
              <w:jc w:val="left"/>
            </w:pPr>
            <w:r>
              <w:rPr>
                <w:sz w:val="15"/>
              </w:rPr>
              <w:t xml:space="preserve">16</w:t>
            </w:r>
          </w:p>
        </w:tc>
        <w:tc>
          <w:tcPr>
            <w:tcW w:type="dxa" w:w="3577"/>
          </w:tcPr>
          <w:p>
            <w:pPr>
              <w:pStyle w:val="Compact"/>
              <w:jc w:val="left"/>
            </w:pPr>
            <w:r>
              <w:rPr>
                <w:sz w:val="15"/>
              </w:rPr>
              <w:t xml:space="preserve">1; 266</w:t>
            </w:r>
          </w:p>
        </w:tc>
      </w:tr>
      <w:tr>
        <w:tc>
          <w:tcPr>
            <w:tcW w:type="dxa" w:w="715"/>
          </w:tcPr>
          <w:p>
            <w:pPr>
              <w:pStyle w:val="Compact"/>
              <w:jc w:val="left"/>
            </w:pPr>
            <w:r>
              <w:rPr>
                <w:sz w:val="15"/>
              </w:rPr>
              <w:t xml:space="preserve">Viet Nam</w:t>
            </w:r>
          </w:p>
        </w:tc>
        <w:tc>
          <w:tcPr>
            <w:tcW w:type="dxa" w:w="2862"/>
          </w:tcPr>
          <w:p>
            <w:pPr>
              <w:pStyle w:val="Compact"/>
              <w:jc w:val="left"/>
            </w:pPr>
            <w:r>
              <w:rPr>
                <w:sz w:val="15"/>
              </w:rPr>
              <w:t xml:space="preserve">0.46</w:t>
            </w:r>
          </w:p>
        </w:tc>
        <w:tc>
          <w:tcPr>
            <w:tcW w:type="dxa" w:w="3577"/>
          </w:tcPr>
          <w:p>
            <w:pPr>
              <w:pStyle w:val="Compact"/>
              <w:jc w:val="left"/>
            </w:pPr>
            <w:r>
              <w:rPr>
                <w:sz w:val="15"/>
              </w:rPr>
              <w:t xml:space="preserve">none</w:t>
            </w:r>
          </w:p>
        </w:tc>
        <w:tc>
          <w:tcPr>
            <w:tcW w:type="dxa" w:w="4292"/>
          </w:tcPr>
          <w:p>
            <w:pPr>
              <w:pStyle w:val="Compact"/>
              <w:jc w:val="left"/>
            </w:pPr>
            <w:r>
              <w:rPr>
                <w:sz w:val="15"/>
              </w:rPr>
              <w:t xml:space="preserve">32</w:t>
            </w:r>
          </w:p>
        </w:tc>
        <w:tc>
          <w:tcPr>
            <w:tcW w:type="dxa" w:w="3577"/>
          </w:tcPr>
          <w:p>
            <w:pPr>
              <w:pStyle w:val="Compact"/>
              <w:jc w:val="left"/>
            </w:pPr>
            <w:r>
              <w:rPr>
                <w:sz w:val="15"/>
              </w:rPr>
              <w:t xml:space="preserve">1; 191</w:t>
            </w:r>
          </w:p>
        </w:tc>
      </w:tr>
    </w:tbl>
    <w:p>
      <w:pPr>
        <w:pStyle w:val="BodyText"/>
      </w:pPr>
      <w:r>
        <w:t xml:space="preserve">P6a: rank correlation of the entry-route score with announced digital greenfield value: -0.89 (n = 4, with tied scores). A lower barrier goes with more investment, as predicted.</w:t>
      </w:r>
      <w:r>
        <w:t xml:space="preserve"> </w:t>
      </w:r>
      <w:r>
        <w:t xml:space="preserve">P6b: rank correlation of the data-centre route score with sovereign-fund data-centre investment: 0.50 (n = 3). A positive value runs against the prediction: Malaysia has the highest data-centre route score and the most investment.</w:t>
      </w:r>
    </w:p>
    <w:bookmarkEnd w:id="39"/>
    <w:bookmarkEnd w:id="40"/>
    <w:bookmarkStart w:id="41" w:name="currency-conversion"/>
    <w:p>
      <w:pPr>
        <w:pStyle w:val="Heading2"/>
      </w:pPr>
      <w:r>
        <w:t xml:space="preserve">Currency conversion</w:t>
      </w:r>
    </w:p>
    <w:p>
      <w:pPr>
        <w:pStyle w:val="FirstParagraph"/>
      </w:pPr>
      <w:r>
        <w:t xml:space="preserve">Thai baht, Malaysian ringgit, Philippine peso and Vietnamese dong figures are converted to US dollars at about 35.7 baht, 4.55 ringgit and 57.7 pesos to the dollar. These are approximate rates for October 2026, used for comparison only. The local-currency figure is the one to cite.</w:t>
      </w:r>
    </w:p>
    <w:bookmarkEnd w:id="41"/>
    <w:bookmarkStart w:id="42" w:name="codebook"/>
    <w:p>
      <w:pPr>
        <w:pStyle w:val="Heading2"/>
      </w:pPr>
      <w:r>
        <w:t xml:space="preserve">Codebook</w:t>
      </w:r>
    </w:p>
    <w:p>
      <w:pPr>
        <w:pStyle w:val="FirstParagraph"/>
      </w:pPr>
      <w:r>
        <w:t xml:space="preserve">The coding rules applied are these.</w:t>
      </w:r>
    </w:p>
    <w:p>
      <w:pPr>
        <w:pStyle w:val="BodyText"/>
      </w:pPr>
      <w:r>
        <w:t xml:space="preserve">Stack layer.</w:t>
      </w:r>
      <w:r>
        <w:t xml:space="preserve"> </w:t>
      </w:r>
      <w:r>
        <w:rPr>
          <w:iCs/>
          <w:i/>
        </w:rPr>
        <w:t xml:space="preserve">Applications and models</w:t>
      </w:r>
      <w:r>
        <w:t xml:space="preserve"> </w:t>
      </w:r>
      <w:r>
        <w:t xml:space="preserve">if the instrument governs software, models or AI systems as end products.</w:t>
      </w:r>
      <w:r>
        <w:t xml:space="preserve"> </w:t>
      </w:r>
      <w:r>
        <w:rPr>
          <w:iCs/>
          <w:i/>
        </w:rPr>
        <w:t xml:space="preserve">Cloud and compute services</w:t>
      </w:r>
      <w:r>
        <w:t xml:space="preserve"> </w:t>
      </w:r>
      <w:r>
        <w:t xml:space="preserve">if it governs the provision of computing capacity as a service, whether from owned or leased facilities.</w:t>
      </w:r>
      <w:r>
        <w:t xml:space="preserve"> </w:t>
      </w:r>
      <w:r>
        <w:rPr>
          <w:iCs/>
          <w:i/>
        </w:rPr>
        <w:t xml:space="preserve">Physical data-centre capacity</w:t>
      </w:r>
      <w:r>
        <w:t xml:space="preserve"> </w:t>
      </w:r>
      <w:r>
        <w:t xml:space="preserve">if it governs construction or operation of physical facilities.</w:t>
      </w:r>
      <w:r>
        <w:t xml:space="preserve"> </w:t>
      </w:r>
      <w:r>
        <w:rPr>
          <w:iCs/>
          <w:i/>
        </w:rPr>
        <w:t xml:space="preserve">(ii)+(iii)</w:t>
      </w:r>
      <w:r>
        <w:t xml:space="preserve"> </w:t>
      </w:r>
      <w:r>
        <w:t xml:space="preserve">if one instrument covers both and does not distinguish them.</w:t>
      </w:r>
      <w:r>
        <w:t xml:space="preserve"> </w:t>
      </w:r>
      <w:r>
        <w:rPr>
          <w:iCs/>
          <w:i/>
        </w:rPr>
        <w:t xml:space="preserve">Hardware manufacture</w:t>
      </w:r>
      <w:r>
        <w:t xml:space="preserve"> </w:t>
      </w:r>
      <w:r>
        <w:t xml:space="preserve">if it governs semiconductor or chip design or fabrication.</w:t>
      </w:r>
      <w:r>
        <w:t xml:space="preserve"> </w:t>
      </w:r>
      <w:r>
        <w:rPr>
          <w:iCs/>
          <w:i/>
        </w:rPr>
        <w:t xml:space="preserve">Cross-cutting</w:t>
      </w:r>
      <w:r>
        <w:t xml:space="preserve"> </w:t>
      </w:r>
      <w:r>
        <w:t xml:space="preserve">if it applies across activity types without targeting a layer.</w:t>
      </w:r>
    </w:p>
    <w:p>
      <w:pPr>
        <w:pStyle w:val="BodyText"/>
      </w:pPr>
      <w:r>
        <w:t xml:space="preserve">Delivery mechanism.</w:t>
      </w:r>
      <w:r>
        <w:t xml:space="preserve"> </w:t>
      </w:r>
      <w:r>
        <w:rPr>
          <w:iCs/>
          <w:i/>
        </w:rPr>
        <w:t xml:space="preserve">Indirect</w:t>
      </w:r>
      <w:r>
        <w:t xml:space="preserve"> </w:t>
      </w:r>
      <w:r>
        <w:t xml:space="preserve">for tax-based instruments (exemptions, holidays, deductions) that presuppose taxable profit or investment expenditure.</w:t>
      </w:r>
      <w:r>
        <w:t xml:space="preserve"> </w:t>
      </w:r>
      <w:r>
        <w:rPr>
          <w:iCs/>
          <w:i/>
        </w:rPr>
        <w:t xml:space="preserve">Direct</w:t>
      </w:r>
      <w:r>
        <w:t xml:space="preserve"> </w:t>
      </w:r>
      <w:r>
        <w:t xml:space="preserve">for grants, equity investment or fee waivers that do not presuppose profitability. Combined schemes are coded as separate rows.</w:t>
      </w:r>
    </w:p>
    <w:p>
      <w:pPr>
        <w:pStyle w:val="BodyText"/>
      </w:pPr>
      <w:r>
        <w:t xml:space="preserve">Formal threshold. Report the eligibility rule as stated in the source, in local currency with a dated conversion, and record its basis (annual spend, paid-up capital, minimum capital, cumulative capex, firm-scale investment capital). Record</w:t>
      </w:r>
      <w:r>
        <w:t xml:space="preserve"> </w:t>
      </w:r>
      <w:r>
        <w:t xml:space="preserve">“</w:t>
      </w:r>
      <w:r>
        <w:t xml:space="preserve">none stated</w:t>
      </w:r>
      <w:r>
        <w:t xml:space="preserve">”</w:t>
      </w:r>
      <w:r>
        <w:t xml:space="preserve"> </w:t>
      </w:r>
      <w:r>
        <w:t xml:space="preserve">when the source states no threshold; do not record zero.</w:t>
      </w:r>
    </w:p>
    <w:p>
      <w:pPr>
        <w:pStyle w:val="BodyText"/>
      </w:pPr>
      <w:r>
        <w:t xml:space="preserve">New-firm accommodation.</w:t>
      </w:r>
      <w:r>
        <w:t xml:space="preserve"> </w:t>
      </w:r>
      <w:r>
        <w:rPr>
          <w:iCs/>
          <w:i/>
        </w:rPr>
        <w:t xml:space="preserve">Yes</w:t>
      </w:r>
      <w:r>
        <w:t xml:space="preserve"> </w:t>
      </w:r>
      <w:r>
        <w:t xml:space="preserve">only where the source contains an explicit provision easing eligibility for smaller or newer firms (for example a startup track or direct equity access).</w:t>
      </w:r>
      <w:r>
        <w:t xml:space="preserve"> </w:t>
      </w:r>
      <w:r>
        <w:rPr>
          <w:iCs/>
          <w:i/>
        </w:rPr>
        <w:t xml:space="preserve">No</w:t>
      </w:r>
      <w:r>
        <w:t xml:space="preserve"> </w:t>
      </w:r>
      <w:r>
        <w:t xml:space="preserve">where none exists, even if the general threshold is numerically low. A low threshold is recorded as a threshold. Proportional requirements (for example a percentage of staff) are coded</w:t>
      </w:r>
      <w:r>
        <w:t xml:space="preserve"> </w:t>
      </w:r>
      <w:r>
        <w:t xml:space="preserve">“</w:t>
      </w:r>
      <w:r>
        <w:t xml:space="preserve">not scale-based</w:t>
      </w:r>
      <w:r>
        <w:t xml:space="preserve">”</w:t>
      </w:r>
      <w:r>
        <w:t xml:space="preserve">.</w:t>
      </w:r>
    </w:p>
    <w:p>
      <w:pPr>
        <w:pStyle w:val="BodyText"/>
      </w:pPr>
      <w:r>
        <w:t xml:space="preserve">Compliance burden. Any recurring (annual or ongoing) obligation attached to continued eligibility, distinct from one-off application requirements. Fixed-cost obligations are noted explicitly.</w:t>
      </w:r>
    </w:p>
    <w:p>
      <w:pPr>
        <w:pStyle w:val="BodyText"/>
      </w:pPr>
      <w:r>
        <w:t xml:space="preserve">Ambiguous cases. When a coding decision stays uncertain after reading the source, flag the row, record both candidate codes, and log how it was resolved.</w:t>
      </w:r>
    </w:p>
    <w:p>
      <w:pPr>
        <w:pStyle w:val="BodyText"/>
      </w:pPr>
      <w:r>
        <w:t xml:space="preserve">Four points matter for replication.</w:t>
      </w:r>
    </w:p>
    <w:p>
      <w:pPr>
        <w:numPr>
          <w:ilvl w:val="0"/>
          <w:numId w:val="1002"/>
        </w:numPr>
        <w:pStyle w:val="Compact"/>
      </w:pPr>
      <w:r>
        <w:rPr>
          <w:bCs/>
          <w:b/>
        </w:rPr>
        <w:t xml:space="preserve">A low threshold is not accommodation.</w:t>
      </w:r>
      <w:r>
        <w:t xml:space="preserve"> </w:t>
      </w:r>
      <w:r>
        <w:t xml:space="preserve">A low capital floor is recorded in the threshold column. Accommodation is coded Yes only for an explicit provision for small or new firms, such as Vietnam’s startup track.</w:t>
      </w:r>
    </w:p>
    <w:p>
      <w:pPr>
        <w:numPr>
          <w:ilvl w:val="0"/>
          <w:numId w:val="1002"/>
        </w:numPr>
        <w:pStyle w:val="Compact"/>
      </w:pPr>
      <w:r>
        <w:rPr>
          <w:bCs/>
          <w:b/>
        </w:rPr>
        <w:t xml:space="preserve">Layers (ii) and (iii).</w:t>
      </w:r>
      <w:r>
        <w:t xml:space="preserve"> </w:t>
      </w:r>
      <w:r>
        <w:t xml:space="preserve">Where an instrument names data centres and cloud services together without distinguishing them, it is coded (ii)+(iii). Thailand’s cloud-services activity (row 21) is coded (ii) because it carries no capacity or capital condition and is defined by certification and location.</w:t>
      </w:r>
    </w:p>
    <w:p>
      <w:pPr>
        <w:numPr>
          <w:ilvl w:val="0"/>
          <w:numId w:val="1002"/>
        </w:numPr>
        <w:pStyle w:val="Compact"/>
      </w:pPr>
      <w:r>
        <w:rPr>
          <w:bCs/>
          <w:b/>
        </w:rPr>
        <w:t xml:space="preserve">Designation is not access.</w:t>
      </w:r>
      <w:r>
        <w:t xml:space="preserve"> </w:t>
      </w:r>
      <w:r>
        <w:t xml:space="preserve">Rows 10 to 13 record that a technology is named. They state no condition and attach no benefit, and the two groups of Decision 21/2026 are not ranked.</w:t>
      </w:r>
    </w:p>
    <w:p>
      <w:pPr>
        <w:numPr>
          <w:ilvl w:val="0"/>
          <w:numId w:val="1002"/>
        </w:numPr>
        <w:pStyle w:val="Compact"/>
      </w:pPr>
      <w:r>
        <w:rPr>
          <w:bCs/>
          <w:b/>
        </w:rPr>
        <w:t xml:space="preserve">Cross-cutting rows.</w:t>
      </w:r>
      <w:r>
        <w:t xml:space="preserve"> </w:t>
      </w:r>
      <w:r>
        <w:t xml:space="preserve">Rows 2, 3, 5, 6, 7, 8, 9, 14, 18, 19, 20, 24, 25 and 26 apply beyond AI. They are kept so that the rules that govern an AI firm can be separated from rules written for AI.</w:t>
      </w:r>
    </w:p>
    <w:bookmarkEnd w:id="42"/>
    <w:bookmarkStart w:id="43" w:name="reliability-and-outstanding-checks"/>
    <w:p>
      <w:pPr>
        <w:pStyle w:val="Heading2"/>
      </w:pPr>
      <w:r>
        <w:t xml:space="preserve">Reliability and outstanding checks</w:t>
      </w:r>
    </w:p>
    <w:p>
      <w:pPr>
        <w:numPr>
          <w:ilvl w:val="0"/>
          <w:numId w:val="1003"/>
        </w:numPr>
        <w:pStyle w:val="Compact"/>
      </w:pPr>
      <w:r>
        <w:rPr>
          <w:bCs/>
          <w:b/>
        </w:rPr>
        <w:t xml:space="preserve">Inter-coder reliability.</w:t>
      </w:r>
      <w:r>
        <w:t xml:space="preserve"> </w:t>
      </w:r>
      <w:r>
        <w:t xml:space="preserve">Done with a blind AI second coder, not yet with a human (Table S6). A human second coder remains desirable, and the disagreements in Table S6 are the rows to give first.</w:t>
      </w:r>
    </w:p>
    <w:p>
      <w:pPr>
        <w:numPr>
          <w:ilvl w:val="0"/>
          <w:numId w:val="1003"/>
        </w:numPr>
        <w:pStyle w:val="Compact"/>
      </w:pPr>
      <w:r>
        <w:rPr>
          <w:bCs/>
          <w:b/>
        </w:rPr>
        <w:t xml:space="preserve">Texts still to be read.</w:t>
      </w:r>
      <w:r>
        <w:t xml:space="preserve"> </w:t>
      </w:r>
      <w:r>
        <w:t xml:space="preserve">The Thai originals and gazette texts of the BOI announcements; the Vietnamese implementing circulars (including those on procurement preference for listed digital products); and the qualification guidelines of the 2026 Strategic Investment Priority Plan.</w:t>
      </w:r>
    </w:p>
    <w:p>
      <w:pPr>
        <w:numPr>
          <w:ilvl w:val="0"/>
          <w:numId w:val="1003"/>
        </w:numPr>
        <w:pStyle w:val="Compact"/>
      </w:pPr>
      <w:r>
        <w:rPr>
          <w:bCs/>
          <w:b/>
        </w:rPr>
        <w:t xml:space="preserve">Open interpretation questions.</w:t>
      </w:r>
      <w:r>
        <w:t xml:space="preserve"> </w:t>
      </w:r>
      <w:r>
        <w:t xml:space="preserve">Whether BOI would classify a small GPU rental provider under Activity 8.2.2 or 8.2.4.1; whether MDEC accepts resale of compute capacity as a Malaysia Digital activity; what</w:t>
      </w:r>
      <w:r>
        <w:t xml:space="preserve"> </w:t>
      </w:r>
      <w:r>
        <w:t xml:space="preserve">“</w:t>
      </w:r>
      <w:r>
        <w:t xml:space="preserve">cloud-computing platforms</w:t>
      </w:r>
      <w:r>
        <w:t xml:space="preserve">”</w:t>
      </w:r>
      <w:r>
        <w:t xml:space="preserve"> </w:t>
      </w:r>
      <w:r>
        <w:t xml:space="preserve">means in Decision 21/2026; whether Article 16 of Decree 260 applies to a firm that has not yet earned revenue.</w:t>
      </w:r>
    </w:p>
    <w:p>
      <w:pPr>
        <w:numPr>
          <w:ilvl w:val="0"/>
          <w:numId w:val="1003"/>
        </w:numPr>
        <w:pStyle w:val="Compact"/>
      </w:pPr>
      <w:r>
        <w:rPr>
          <w:bCs/>
          <w:b/>
        </w:rPr>
        <w:t xml:space="preserve">Instrument lists not yet coded.</w:t>
      </w:r>
      <w:r>
        <w:t xml:space="preserve"> </w:t>
      </w:r>
      <w:r>
        <w:t xml:space="preserve">General SME, startup and research schemes, and pre-AI sector schemes, are outside Table S1. Absence claims in the manuscript are limited to AI-related and digital-sector instruments.</w:t>
      </w:r>
    </w:p>
    <w:bookmarkEnd w:id="43"/>
    <w:sectPr>
      <w:pgSz w:orient="landscape" w:w="16838" w:h="11906"/>
      <w:pgMar w:left="907" w:right="907" w:top="907" w:bottom="90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Information</dc:title>
  <dc:creator/>
  <cp:keywords/>
  <dcterms:created xsi:type="dcterms:W3CDTF">2026-10-26T04:26:58Z</dcterms:created>
  <dcterms:modified xsi:type="dcterms:W3CDTF">2026-10-26T04:26:58Z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Instrument-level coding matrix for “Incentive Design, Ownership, and the Risk of an AI-Era Middle-Technology Trap in Southeast Asia”</vt:lpwstr>
  </property>
</Properties>
</file>