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Screen</w:t>
      </w:r>
      <w:r>
        <w:t xml:space="preserve"> </w:t>
      </w:r>
      <w:r>
        <w:t xml:space="preserve">Falls:</w:t>
      </w:r>
      <w:r>
        <w:t xml:space="preserve"> </w:t>
      </w:r>
      <w:r>
        <w:t xml:space="preserve">Incentive</w:t>
      </w:r>
      <w:r>
        <w:t xml:space="preserve"> </w:t>
      </w:r>
      <w:r>
        <w:t xml:space="preserve">Architecture</w:t>
      </w:r>
      <w:r>
        <w:t xml:space="preserve"> </w:t>
      </w:r>
      <w:r>
        <w:t xml:space="preserve">and</w:t>
      </w:r>
      <w:r>
        <w:t xml:space="preserve"> </w:t>
      </w:r>
      <w:r>
        <w:t xml:space="preserve">Domestic</w:t>
      </w:r>
      <w:r>
        <w:t xml:space="preserve"> </w:t>
      </w:r>
      <w:r>
        <w:t xml:space="preserve">Firms’</w:t>
      </w:r>
      <w:r>
        <w:t xml:space="preserve"> </w:t>
      </w:r>
      <w:r>
        <w:t xml:space="preserve">Entry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AI</w:t>
      </w:r>
      <w:r>
        <w:t xml:space="preserve"> </w:t>
      </w:r>
      <w:r>
        <w:t xml:space="preserve">Stack</w:t>
      </w:r>
      <w:r>
        <w:t xml:space="preserve"> </w:t>
      </w:r>
      <w:r>
        <w:t xml:space="preserve">in</w:t>
      </w:r>
      <w:r>
        <w:t xml:space="preserve"> </w:t>
      </w:r>
      <w:r>
        <w:t xml:space="preserve">Southeast</w:t>
      </w:r>
      <w:r>
        <w:t xml:space="preserve"> </w:t>
      </w:r>
      <w:r>
        <w:t xml:space="preserve">Asia</w:t>
      </w:r>
    </w:p>
    <w:p>
      <w:pPr>
        <w:pStyle w:val="FirstParagraph"/>
      </w:pPr>
      <w:r>
        <w:rPr>
          <w:bCs/>
          <w:b/>
        </w:rPr>
        <w:t xml:space="preserve">Journal:</w:t>
      </w:r>
      <w:r>
        <w:t xml:space="preserve"> </w:t>
      </w:r>
      <w:r>
        <w:t xml:space="preserve">Development Policy Review</w:t>
      </w:r>
    </w:p>
    <w:p>
      <w:pPr>
        <w:pStyle w:val="BodyText"/>
      </w:pPr>
      <w:r>
        <w:rPr>
          <w:bCs/>
          <w:b/>
        </w:rPr>
        <w:t xml:space="preserve">Authors</w:t>
      </w:r>
    </w:p>
    <w:p>
      <w:pPr>
        <w:pStyle w:val="BodyText"/>
      </w:pPr>
      <w:r>
        <w:t xml:space="preserve">Quang-Vinh Dang¹ (corresponding author) and Thi-Hong-Hanh Nguyen²</w:t>
      </w:r>
    </w:p>
    <w:p>
      <w:pPr>
        <w:pStyle w:val="BodyText"/>
      </w:pPr>
      <w:r>
        <w:t xml:space="preserve">¹ British University Vietnam, Hung Yen, Vietnam. Email: vinh.dq4@buv.edu.vn. ORCID: 0000-0002-3877-8024</w:t>
      </w:r>
    </w:p>
    <w:p>
      <w:pPr>
        <w:pStyle w:val="BodyText"/>
      </w:pPr>
      <w:r>
        <w:t xml:space="preserve">² Banking Academy of Vietnam, Hanoi, Vietnam. Email: hanh.nth1@hvnh.edu.vn</w:t>
      </w:r>
    </w:p>
    <w:p>
      <w:pPr>
        <w:pStyle w:val="BodyText"/>
      </w:pPr>
      <w:r>
        <w:rPr>
          <w:bCs/>
          <w:b/>
        </w:rPr>
        <w:t xml:space="preserve">Word count:</w:t>
      </w:r>
      <w:r>
        <w:t xml:space="preserve"> </w:t>
      </w:r>
      <w:r>
        <w:t xml:space="preserve">about 7,240 (excluding abstract and references; including tables, figure caption and declarations)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AI industrial policy; investment incentives; incentive design; middle-income trap; middle-technology trap; Southeast Asia</w:t>
      </w:r>
    </w:p>
    <w:p>
      <w:pPr>
        <w:pStyle w:val="BodyText"/>
      </w:pPr>
      <w:r>
        <w:rPr>
          <w:bCs/>
          <w:b/>
        </w:rPr>
        <w:t xml:space="preserve">Authors’ contributions:</w:t>
      </w:r>
      <w:r>
        <w:t xml:space="preserve"> </w:t>
      </w:r>
      <w:r>
        <w:t xml:space="preserve">Quang-Vinh Dang developed the conceptual framework, research design and methodology, collected and coded the legal texts, analysed and interpreted the data, and wrote the first draft. Thi-Hong-Hanh Nguyen contributed to the research design, checked the sources and coding, contributed to the interpretation of the findings, and revised the manuscript for rigour and coherence.</w:t>
      </w:r>
    </w:p>
    <w:p>
      <w:pPr>
        <w:pStyle w:val="BodyText"/>
      </w:pPr>
      <w:r>
        <w:rPr>
          <w:bCs/>
          <w:b/>
        </w:rPr>
        <w:t xml:space="preserve">Use of generative AI:</w:t>
      </w:r>
      <w:r>
        <w:t xml:space="preserve"> </w:t>
      </w:r>
      <w:r>
        <w:t xml:space="preserve">The authors used generative AI to assist with drafting, editing and formatting the manuscript, and as a blind second coder to check the coding of legal instruments. The authors reviewed and edited the text and take full responsibility for the content.</w:t>
      </w:r>
    </w:p>
    <w:p>
      <w:pPr>
        <w:pStyle w:val="BodyText"/>
      </w:pPr>
      <w:r>
        <w:rPr>
          <w:bCs/>
          <w:b/>
        </w:rPr>
        <w:t xml:space="preserve">Funding:</w:t>
      </w:r>
      <w:r>
        <w:t xml:space="preserve"> </w:t>
      </w:r>
      <w:r>
        <w:t xml:space="preserve">No funding was obtained for the reported work.</w:t>
      </w:r>
    </w:p>
    <w:p>
      <w:pPr>
        <w:pStyle w:val="BodyText"/>
      </w:pPr>
      <w:r>
        <w:rPr>
          <w:bCs/>
          <w:b/>
        </w:rPr>
        <w:t xml:space="preserve">Competing interests:</w:t>
      </w:r>
      <w:r>
        <w:t xml:space="preserve"> </w:t>
      </w:r>
      <w:r>
        <w:t xml:space="preserve">The authors report there are no competing interests to declare.</w:t>
      </w:r>
    </w:p>
    <w:p>
      <w:pPr>
        <w:pStyle w:val="BodyText"/>
      </w:pPr>
      <w:r>
        <w:rPr>
          <w:bCs/>
          <w:b/>
        </w:rPr>
        <w:t xml:space="preserve">Previous publication:</w:t>
      </w:r>
      <w:r>
        <w:t xml:space="preserve"> </w:t>
      </w:r>
      <w:r>
        <w:t xml:space="preserve">The paper has not been published before, including as a working paper or discussion paper, and is not under consideration elsewhere.</w:t>
      </w:r>
    </w:p>
    <w:sectPr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Where the Screen Falls: Incentive Architecture and Domestic Firms’ Entry into the AI Stack in Southeast Asia</dc:title>
  <dc:creator/>
  <cp:keywords/>
  <dcterms:created xsi:type="dcterms:W3CDTF">2026-10-17T22:28:38Z</dcterms:created>
  <dcterms:modified xsi:type="dcterms:W3CDTF">2026-10-17T22:28:38Z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