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Quang-Vinh Dang</w:t>
      </w:r>
      <w:r>
        <w:t xml:space="preserve">¹ and</w:t>
      </w:r>
      <w:r>
        <w:t xml:space="preserve"> </w:t>
      </w:r>
      <w:r>
        <w:rPr>
          <w:bCs/>
          <w:b/>
        </w:rPr>
        <w:t xml:space="preserve">Thi-Hong-Hanh Nguyen</w:t>
      </w:r>
      <w:r>
        <w:t xml:space="preserve">²</w:t>
      </w:r>
    </w:p>
    <w:p>
      <w:pPr>
        <w:pStyle w:val="BodyText"/>
      </w:pPr>
      <w:r>
        <w:t xml:space="preserve">¹ British University Vietnam, Hung Yen, Vietnam. ORCID: 0000-0002-3877-8024</w:t>
      </w:r>
    </w:p>
    <w:p>
      <w:pPr>
        <w:pStyle w:val="BodyText"/>
      </w:pPr>
      <w:r>
        <w:t xml:space="preserve">² Banking Academy of Vietnam, Hanoi, Vietnam</w:t>
      </w:r>
    </w:p>
    <w:p>
      <w:pPr>
        <w:pStyle w:val="BodyText"/>
      </w:pPr>
      <w:r>
        <w:t xml:space="preserve">Corresponding author: Quang-Vinh Dang, vinh.dq4@buv.edu.vn</w:t>
      </w:r>
    </w:p>
    <w:p>
      <w:pPr>
        <w:pStyle w:val="BodyText"/>
      </w:pPr>
      <w:r>
        <w:t xml:space="preserve">Co-author email: hanh.nth1@hvnh.edu.vn</w:t>
      </w:r>
    </w:p>
    <w:p>
      <w:pPr>
        <w:pStyle w:val="BodyText"/>
      </w:pPr>
      <w:r>
        <w:t xml:space="preserve">Word count: about 7,240 (excluding abstract and references)</w:t>
      </w:r>
    </w:p>
    <w:bookmarkStart w:id="20" w:name="abstract"/>
    <w:p>
      <w:pPr>
        <w:pStyle w:val="Heading2"/>
      </w:pPr>
      <w:r>
        <w:t xml:space="preserve">Abstract</w:t>
      </w:r>
    </w:p>
    <w:p>
      <w:pPr>
        <w:pStyle w:val="FirstParagraph"/>
      </w:pPr>
      <w:r>
        <w:rPr>
          <w:bCs/>
          <w:b/>
        </w:rPr>
        <w:t xml:space="preserve">Motivation.</w:t>
      </w:r>
      <w:r>
        <w:t xml:space="preserve"> </w:t>
      </w:r>
      <w:r>
        <w:t xml:space="preserve">Governments in Southeast Asia have made artificial intelligence (AI) a pillar of industrial policy, but little is known about which domestic firms their investment incentives admit to the AI technology stack. Whether smaller firms can supply AI computing matters for the move from middle to high income.</w:t>
      </w:r>
    </w:p>
    <w:p>
      <w:pPr>
        <w:pStyle w:val="BodyText"/>
      </w:pPr>
      <w:r>
        <w:rPr>
          <w:bCs/>
          <w:b/>
        </w:rPr>
        <w:t xml:space="preserve">Purpose.</w:t>
      </w:r>
      <w:r>
        <w:t xml:space="preserve"> </w:t>
      </w:r>
      <w:r>
        <w:t xml:space="preserve">To show where the incentive systems of Malaysia, the Philippines, Thailand and Vietnam screen entrants to the AI stack, and whether cost, scale-favouring design or administrative habit better explains the pattern.</w:t>
      </w:r>
    </w:p>
    <w:p>
      <w:pPr>
        <w:pStyle w:val="BodyText"/>
      </w:pPr>
      <w:r>
        <w:rPr>
          <w:bCs/>
          <w:b/>
        </w:rPr>
        <w:t xml:space="preserve">Approach and methods.</w:t>
      </w:r>
      <w:r>
        <w:t xml:space="preserve"> </w:t>
      </w:r>
      <w:r>
        <w:t xml:space="preserve">We code 29 instruments from primary legal texts on layer, scale, new-firm accommodation, delivery and compliance burden, place capital thresholds on a common cost scale, test eligibility for three hypothetical firms, and rate the evidence against the three explanations. A second, AI coder checked the coding blind.</w:t>
      </w:r>
    </w:p>
    <w:p>
      <w:pPr>
        <w:pStyle w:val="BodyText"/>
      </w:pPr>
      <w:r>
        <w:rPr>
          <w:bCs/>
          <w:b/>
        </w:rPr>
        <w:t xml:space="preserve">Findings.</w:t>
      </w:r>
      <w:r>
        <w:t xml:space="preserve"> </w:t>
      </w:r>
      <w:r>
        <w:t xml:space="preserve">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our viability benchmark finds workable. Where small cloud providers can enter, the screen is a fixed compliance cost. No instrument targets provision below facility scale. Cost largely explains Thailand’s gate but not the pattern across countries.</w:t>
      </w:r>
    </w:p>
    <w:p>
      <w:pPr>
        <w:pStyle w:val="BodyText"/>
      </w:pPr>
      <w:r>
        <w:rPr>
          <w:bCs/>
          <w:b/>
        </w:rPr>
        <w:t xml:space="preserve">Policy implications.</w:t>
      </w:r>
      <w:r>
        <w:t xml:space="preserve"> </w:t>
      </w:r>
      <w:r>
        <w:t xml:space="preserve">Governments should audit which instruments a small compute provider could use, lower fixed certification and audit costs, and collect data on prices and take-up by firm size before changing thresholds. The evidence concerns legal eligibility, not realized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industrialization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realized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approximate October 2026 rates of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commercialization-ready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specialized AI, edge-processing AI cameras, digital-twin platforms and cloud-computing platforms. Group 2 includes specialized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utilizing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utilization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utilization and a fleet of 45 to 270 servers (US$13 million to US$80 million) to cover an overhead of US$50,000 to US$300,000 a year, and at the US$3.85 on-demand list price a few servers suffice. A scale provider breaks even at a utilization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specialization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subsidized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subsidizing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Publish data on who takes part.</w:t>
      </w:r>
      <w:r>
        <w:t xml:space="preserve"> </w:t>
      </w:r>
      <w:r>
        <w:t xml:space="preserve">Only Thailand publishes approvals by activity and ownership. Publishing approvals by activity, firm size and ownership in the other countries would show whether small and domestic firms use the instruments they are eligible for, and would let the rules be linked to outcomes.</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specialization,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realized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stylized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utilization that small regional providers actually obtain, code the general schemes, and link rules to firm-level take-up.</w:t>
      </w:r>
    </w:p>
    <w:bookmarkEnd w:id="47"/>
    <w:bookmarkStart w:id="48" w:name="acknowledgements"/>
    <w:p>
      <w:pPr>
        <w:pStyle w:val="Heading2"/>
      </w:pPr>
      <w:r>
        <w:t xml:space="preserve">Acknowledgements</w:t>
      </w:r>
    </w:p>
    <w:p>
      <w:pPr>
        <w:pStyle w:val="FirstParagraph"/>
      </w:pPr>
      <w:r>
        <w:rPr>
          <w:bCs/>
          <w:b/>
        </w:rPr>
        <w:t xml:space="preserve">Authors’ contributions.</w:t>
      </w:r>
      <w:r>
        <w:t xml:space="preserve"> </w:t>
      </w:r>
      <w:r>
        <w:t xml:space="preserve">The first author developed the conceptual framework, research design and methodology, collected and coded the legal texts, analysed and interpreted the data, and wrote the first draft. The second author contributed to the research design, checked the sources and coding, contributed to the interpretation of the findings, and revised the manuscript for rigour and coherence.</w:t>
      </w:r>
    </w:p>
    <w:p>
      <w:pPr>
        <w:pStyle w:val="BodyText"/>
      </w:pPr>
      <w:r>
        <w:rPr>
          <w:bCs/>
          <w:b/>
        </w:rPr>
        <w:t xml:space="preserve">Use of generative AI.</w:t>
      </w:r>
      <w:r>
        <w:t xml:space="preserve"> </w:t>
      </w:r>
      <w:r>
        <w:t xml:space="preserve">The authors used generative AI to assist with drafting, editing and formatting the manuscript, and as a blind second coder to check the coding of legal instruments (Section 3.2). The authors reviewed and edited the text and take full responsibility for the content.</w:t>
      </w:r>
    </w:p>
    <w:bookmarkEnd w:id="48"/>
    <w:bookmarkStart w:id="49"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9"/>
    <w:bookmarkStart w:id="50" w:name="funding"/>
    <w:p>
      <w:pPr>
        <w:pStyle w:val="Heading2"/>
      </w:pPr>
      <w:r>
        <w:t xml:space="preserve">Funding</w:t>
      </w:r>
    </w:p>
    <w:p>
      <w:pPr>
        <w:pStyle w:val="FirstParagraph"/>
      </w:pPr>
      <w:r>
        <w:t xml:space="preserve">No funding was obtained for the reported work.</w:t>
      </w:r>
    </w:p>
    <w:bookmarkEnd w:id="50"/>
    <w:bookmarkStart w:id="51" w:name="previous-publication"/>
    <w:p>
      <w:pPr>
        <w:pStyle w:val="Heading2"/>
      </w:pPr>
      <w:r>
        <w:t xml:space="preserve">Previous publication</w:t>
      </w:r>
    </w:p>
    <w:p>
      <w:pPr>
        <w:pStyle w:val="FirstParagraph"/>
      </w:pPr>
      <w:r>
        <w:t xml:space="preserve">The paper has not been published before, including as a working paper or discussion paper.</w:t>
      </w:r>
    </w:p>
    <w:bookmarkEnd w:id="51"/>
    <w:bookmarkStart w:id="52"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 https://doi.org/10.1177/001316446002000104</w:t>
      </w:r>
    </w:p>
    <w:p>
      <w:pPr>
        <w:pStyle w:val="BodyText"/>
      </w:pPr>
      <w:r>
        <w:t xml:space="preserve">Collier, D. (2011). Understanding process tracing.</w:t>
      </w:r>
      <w:r>
        <w:t xml:space="preserve"> </w:t>
      </w:r>
      <w:r>
        <w:rPr>
          <w:iCs/>
          <w:i/>
        </w:rPr>
        <w:t xml:space="preserve">PS: Political Science &amp; Politics, 44</w:t>
      </w:r>
      <w:r>
        <w:t xml:space="preserve">(4), 823-830. https://doi.org/10.1017/S1049096511001429</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 https://doi.org/10.1016/S0304-3878(03)00124-X</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 https://doi.org/10.1080/09692290.2025.2489077</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2"/>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2026-10-17T22:28:38Z</dcterms:created>
  <dcterms:modified xsi:type="dcterms:W3CDTF">2026-10-17T22:28:38Z</dcterms:modified>
</cp:coreProperties>
</file>

<file path=docProps/custom.xml><?xml version="1.0" encoding="utf-8"?>
<Properties xmlns="http://schemas.openxmlformats.org/officeDocument/2006/custom-properties" xmlns:vt="http://schemas.openxmlformats.org/officeDocument/2006/docPropsVTypes"/>
</file>