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letter</w:t>
      </w:r>
    </w:p>
    <w:p>
      <w:pPr>
        <w:pStyle w:val="FirstParagraph"/>
      </w:pPr>
      <w:r>
        <w:t xml:space="preserve">Dear Editor,</w:t>
      </w:r>
    </w:p>
    <w:p>
      <w:pPr>
        <w:pStyle w:val="BodyText"/>
      </w:pPr>
      <w:r>
        <w:t xml:space="preserve">We submit</w:t>
      </w:r>
      <w:r>
        <w:t xml:space="preserve"> </w:t>
      </w:r>
      <w:r>
        <w:t xml:space="preserve">“</w:t>
      </w:r>
      <w:r>
        <w:t xml:space="preserve">Where the Screen Falls: Incentive Architecture and Domestic Firms’ Entry into the AI Stack in Southeast Asia</w:t>
      </w:r>
      <w:r>
        <w:t xml:space="preserve">”</w:t>
      </w:r>
      <w:r>
        <w:t xml:space="preserve"> </w:t>
      </w:r>
      <w:r>
        <w:t xml:space="preserve">for consideration as an open submission in the</w:t>
      </w:r>
      <w:r>
        <w:t xml:space="preserve"> </w:t>
      </w:r>
      <w:r>
        <w:rPr>
          <w:iCs/>
          <w:i/>
        </w:rPr>
        <w:t xml:space="preserve">Asian Development Review</w:t>
      </w:r>
      <w:r>
        <w:t xml:space="preserve">.</w:t>
      </w:r>
    </w:p>
    <w:p>
      <w:pPr>
        <w:pStyle w:val="BodyText"/>
      </w:pPr>
      <w:r>
        <w:t xml:space="preserve">Governments in Malaysia, the Philippines, Thailand and Viet Nam have written artificial intelligence (AI) into their investment incentive systems, as part of strategies to move from middle to high income. No study has examined which domestic firms those rules admit to the AI stack. Whether smaller firms in the region can supply computing, and not only use it, matters for how far Asia’s digital transition builds local capability. We code 29 incentive instruments from the primary legal texts, place their capital thresholds on a common cost scale, test eligibility for three hypothetical firms, and ask whether cost, scale-favouring design or administrative habit better explains the pattern.</w:t>
      </w:r>
    </w:p>
    <w:p>
      <w:pPr>
        <w:pStyle w:val="BodyText"/>
      </w:pPr>
      <w:r>
        <w:t xml:space="preserve">The four economies use four incentive architectures. All make application-layer support accessible to small firms. At the compute layers, capital and capacity gates sit near facility scale, and where small cloud providers can enter, the screen is a fixed compliance cost. No instrument targets provision below facility scale. We draw policy implications for governments: audit which instruments a small provider could use, lower fixed certification and audit costs, and publish take-up data by ownership and firm size before changing thresholds. The paper states its limits plainly: it studies legal eligibility, not realized access, and does not claim to show a middle-technology trap.</w:t>
      </w:r>
    </w:p>
    <w:p>
      <w:pPr>
        <w:pStyle w:val="BodyText"/>
      </w:pPr>
      <w:r>
        <w:t xml:space="preserve">The manuscript is about 8,600 words including tables, the figure and references, with an abstract of 148 words, five keywords and JEL codes. The online appendix holds the instrument-level data. The work is original, has not been published before, is not under consideration elsewhere, and both authors have approved the submission. We disclose the use of generative AI (Claude, Anthropic) in Section III.B: it served as a blind second coder of the legal instruments and assisted with drafting, editing and formatting, and the authors reviewed and edited all text and take full responsibility for it.</w:t>
      </w:r>
    </w:p>
    <w:p>
      <w:pPr>
        <w:pStyle w:val="BodyText"/>
      </w:pPr>
      <w:r>
        <w:t xml:space="preserve">Sincerely,</w:t>
      </w:r>
    </w:p>
    <w:p>
      <w:pPr>
        <w:pStyle w:val="BodyText"/>
      </w:pPr>
      <w:r>
        <w:t xml:space="preserve">Quang-Vinh Dang (corresponding author), British University Vietnam, vinh.dq4@buv.edu.vn</w:t>
      </w:r>
    </w:p>
    <w:p>
      <w:pPr>
        <w:pStyle w:val="BodyText"/>
      </w:pPr>
      <w:r>
        <w:t xml:space="preserve">Thi-Hong-Hanh Nguyen, Banking Academy of Viet Nam, hanh.nth1@hvnh.edu.vn</w:t>
      </w:r>
    </w:p>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4"/>
    </w:rPr>
  </w:style>
  <w:style w:styleId="BodyText" w:type="paragraph">
    <w:name w:val="Body Text"/>
    <w:basedOn w:val="Normal"/>
    <w:link w:val="BodyTextChar"/>
    <w:pPr>
      <w:spacing w:after="180" w:before="18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rPr>
      <w:rFonts w:ascii="Times New Roman" w:hAnsi="Times New Roman" w:cs="Times New Roman" w:eastAsia="Times New Roman"/>
      <w:color w:val="000000"/>
      <w:sz w:val="24"/>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pPr>
    <w:rPr>
      <w:rFonts w:ascii="Times New Roman" w:hAnsi="Times New Roman" w:cs="Times New Roman" w:eastAsia="Times New Roman"/>
      <w:color w:val="000000"/>
    </w:rPr>
  </w:style>
  <w:style w:customStyle="1" w:styleId="ImageCaption" w:type="paragraph">
    <w:name w:val="Image Caption"/>
    <w:basedOn w:val="Caption"/>
    <w:rPr>
      <w:rFonts w:ascii="Times New Roman" w:hAnsi="Times New Roman" w:cs="Times New Roman" w:eastAsia="Times New Roman"/>
      <w:color w:val="000000"/>
    </w:rPr>
  </w:style>
  <w:style w:customStyle="1" w:styleId="Figure" w:type="paragraph">
    <w:name w:val="Figure"/>
    <w:basedOn w:val="Normal"/>
    <w:rPr>
      <w:rFonts w:ascii="Times New Roman" w:hAnsi="Times New Roman" w:cs="Times New Roman" w:eastAsia="Times New Roman"/>
      <w:color w:val="000000"/>
    </w:rPr>
  </w:style>
  <w:style w:customStyle="1" w:styleId="CaptionedFigure" w:type="paragraph">
    <w:name w:val="Captioned Figure"/>
    <w:basedOn w:val="Figure"/>
    <w:pPr>
      <w:keepNext/>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000000"/>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2026-10-20T13:40:44Z</dcterms:created>
  <dcterms:modified xsi:type="dcterms:W3CDTF">2026-10-20T13:40:44Z</dcterms:modified>
</cp:coreProperties>
</file>

<file path=docProps/custom.xml><?xml version="1.0" encoding="utf-8"?>
<Properties xmlns="http://schemas.openxmlformats.org/officeDocument/2006/custom-properties" xmlns:vt="http://schemas.openxmlformats.org/officeDocument/2006/docPropsVTypes"/>
</file>