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Fair, Non-Progressive Influence Control Under Backfire and Parameter Uncertainty</w:t>
      </w:r>
    </w:p>
    <w:p>
      <w:pPr>
        <w:spacing w:after="60"/>
        <w:jc w:val="center"/>
      </w:pPr>
      <w:r>
        <w:rPr>
          <w:sz w:val="26"/>
          <w:szCs w:val="26"/>
        </w:rPr>
        <w:t xml:space="preserve">Quang-Vinh Dang</w:t>
      </w:r>
    </w:p>
    <w:p>
      <w:pPr>
        <w:spacing w:after="320"/>
        <w:jc w:val="center"/>
      </w:pPr>
      <w:r>
        <w:rPr>
          <w:i/>
          <w:iCs/>
          <w:sz w:val="22"/>
          <w:szCs w:val="22"/>
        </w:rPr>
        <w:t xml:space="preserve">British University Vietnam, Hung Yen, Vietnam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Corresponding author: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Quang-Vinh Dang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Email: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hyperlink w:history="1" r:id="rIdp9dmzbyh21hxrixyafcoc">
              <w:r>
                <w:rPr>
                  <w:rStyle w:val="Hyperlink"/>
                </w:rPr>
                <w:t xml:space="preserve">vinh.dq4@buv.edu.vn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ORCID: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hyperlink w:history="1" r:id="rId_otx9q0z4a6ngd7jtfrl-">
              <w:r>
                <w:rPr>
                  <w:rStyle w:val="Hyperlink"/>
                </w:rPr>
                <w:t xml:space="preserve">0000-0002-3877-8024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Affiliation: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British University Vietnam, Hung Yen, Vietnam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Target venue: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IEEE Transactions on Knowledge and Data Engineering</w:t>
            </w:r>
          </w:p>
        </w:tc>
      </w:tr>
    </w:tbl>
    <w:p>
      <w:pPr>
        <w:spacing w:after="120" w:before="320"/>
      </w:pPr>
      <w:r>
        <w:rPr>
          <w:b/>
          <w:bCs/>
        </w:rPr>
        <w:t xml:space="preserve">Abstract</w:t>
      </w:r>
    </w:p>
    <w:p>
      <w:pPr>
        <w:spacing w:after="240"/>
        <w:jc w:val="both"/>
      </w:pPr>
      <w:r>
        <w:t xml:space="preserve">The classical influence maximization guarantee of Kempe, Kleinberg, and Tardos rests on four assumptions: progressive diffusion, a monotone submodular objective, known influence parameters, and no fairness requirement. Real deployments routinely violate all four at once: influence can be actively reversed (backfire, or negative word-of-mouth), edge probabilities are never known exactly, and interventions must not neglect a disadvantaged subpopulation. We study this combined relaxation. A sandwich approximation built from two monotone-submodular surrogates yields a ρ(1−1/e) guarantee for every backfire intensity β∈[0,1), tight at β=0, with a per-instance, directly computable certificate; (1−1/e)-hardness survives backfire exactly. A closed-form Lagrangian index for the resulting 2-state/3-action per-node control problem replaces a bisection-plus-value-iteration inner loop with an O(Km+n log n)-per-round procedure, roughly two orders of magnitude faster in practice. We also identify and correct a population-weighting pathology in an existing isoelastic-welfare fairness objective that systematically under-protects small groups, replacing it with an egalitarian reweighting. These pieces combine into MF-BWI-Fair, a control policy that further adds mean-field belief propagation and Bayesian parameter tracking. On a synthetic benchmark, MF-BWI-Fair sustains spread under backfire and recovery where one-shot baselines – including independently reimplemented published algorithms (IMM, He–Kempe's robust Saturate Greedy) – degrade sharply, and the fairness fix raises worst-off-group reach at negligible spread cost. The finding generalizes across four further synthetic graphs and three real Facebook ego-networks at increasing scale (224–532 nodes), with one disclosed exception: on the largest, most community-structured real graph, a more expensive rollout baseline retains a small, stable edge, examined in the Discussion section. We additionally validate our IMM reimplementation directly against the original authors' own C++ code.</w:t>
      </w:r>
    </w:p>
    <w:p>
      <w:pPr>
        <w:spacing w:after="120"/>
      </w:pPr>
      <w:r>
        <w:rPr>
          <w:b/>
          <w:bCs/>
        </w:rPr>
        <w:t xml:space="preserve">Index Terms</w:t>
      </w:r>
    </w:p>
    <w:p>
      <w:pPr>
        <w:spacing w:after="240"/>
      </w:pPr>
      <w:r>
        <w:t xml:space="preserve">Influence maximization, submodular optimization, restless bandits, fairness, robust optimization, social networks.</w:t>
      </w:r>
    </w:p>
    <w:p>
      <w:pPr>
        <w:spacing w:after="120"/>
      </w:pPr>
      <w:r>
        <w:rPr>
          <w:b/>
          <w:bCs/>
        </w:rPr>
        <w:t xml:space="preserve">Declarations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Funding: </w:t>
      </w:r>
      <w:r>
        <w:t xml:space="preserve">No external funding was received for this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Conflicts of interest: </w:t>
      </w:r>
      <w:r>
        <w:t xml:space="preserve">The author declares no conflicts of interest.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availability: </w:t>
      </w:r>
      <w:r>
        <w:t xml:space="preserve">The SNAP ego-Facebook dataset used for real-network validation is publicly available (McAuley and Leskovec, 2012).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Prior submission: </w:t>
      </w:r>
      <w:r>
        <w:t xml:space="preserve">This manuscript is original, has not been published previously, and is not under consideration elsewhere.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9dmzbyh21hxrixyafcoc" Type="http://schemas.openxmlformats.org/officeDocument/2006/relationships/hyperlink" Target="mailto:vinh.dq4@buv.edu.vn" TargetMode="External"/><Relationship Id="rId_otx9q0z4a6ngd7jtfrl-" Type="http://schemas.openxmlformats.org/officeDocument/2006/relationships/hyperlink" Target="https://orcid.org/0000-0002-3877-8024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2026-09-21T02:54:56.027Z</dcterms:created>
  <dcterms:modified xsi:type="dcterms:W3CDTF">2026-09-21T02:54:56.027Z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