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3327" w14:textId="5407DDBC" w:rsidR="005C1281" w:rsidRPr="000574B3" w:rsidRDefault="00000000" w:rsidP="000574B3">
      <w:pPr>
        <w:spacing w:line="480" w:lineRule="auto"/>
        <w:jc w:val="center"/>
        <w:rPr>
          <w:b/>
          <w:sz w:val="48"/>
          <w:szCs w:val="48"/>
        </w:rPr>
      </w:pPr>
      <w:r>
        <w:rPr>
          <w:b/>
          <w:sz w:val="48"/>
          <w:szCs w:val="48"/>
        </w:rPr>
        <w:t>Business Memo</w:t>
      </w:r>
    </w:p>
    <w:p w14:paraId="2D1B3BEE" w14:textId="77777777" w:rsidR="005C1281" w:rsidRDefault="00000000">
      <w:pPr>
        <w:spacing w:line="480" w:lineRule="auto"/>
        <w:rPr>
          <w:b/>
          <w:i/>
          <w:sz w:val="24"/>
          <w:szCs w:val="24"/>
          <w:u w:val="single"/>
        </w:rPr>
      </w:pPr>
      <w:r>
        <w:rPr>
          <w:b/>
          <w:i/>
          <w:sz w:val="24"/>
          <w:szCs w:val="24"/>
          <w:u w:val="single"/>
        </w:rPr>
        <w:t>Background</w:t>
      </w:r>
    </w:p>
    <w:p w14:paraId="08D6EE5C" w14:textId="77777777" w:rsidR="005C1281" w:rsidRDefault="00000000">
      <w:pPr>
        <w:spacing w:line="480" w:lineRule="auto"/>
        <w:rPr>
          <w:sz w:val="24"/>
          <w:szCs w:val="24"/>
        </w:rPr>
      </w:pPr>
      <w:r>
        <w:rPr>
          <w:sz w:val="24"/>
          <w:szCs w:val="24"/>
        </w:rPr>
        <w:tab/>
        <w:t xml:space="preserve">Given the continuing flatness of the US yield curve, CBC has decided to dramatically shorten the duration of its bond portfolio. Rachel Garner from CBC wants to invest $500 million in short-term US debt for the next 3 </w:t>
      </w:r>
      <w:proofErr w:type="gramStart"/>
      <w:r>
        <w:rPr>
          <w:sz w:val="24"/>
          <w:szCs w:val="24"/>
        </w:rPr>
        <w:t>years, and</w:t>
      </w:r>
      <w:proofErr w:type="gramEnd"/>
      <w:r>
        <w:rPr>
          <w:sz w:val="24"/>
          <w:szCs w:val="24"/>
        </w:rPr>
        <w:t xml:space="preserve"> is considering GNMA adjustable rate mortgage bonds (ARMs). They are funding this position by borrowing at LIBOR minus a spread of roughly 35 bps. The client wants healthy returns that will cover this borrowing cost. GNMA ARMs are an attractive </w:t>
      </w:r>
      <w:proofErr w:type="gramStart"/>
      <w:r>
        <w:rPr>
          <w:sz w:val="24"/>
          <w:szCs w:val="24"/>
        </w:rPr>
        <w:t>option, but</w:t>
      </w:r>
      <w:proofErr w:type="gramEnd"/>
      <w:r>
        <w:rPr>
          <w:sz w:val="24"/>
          <w:szCs w:val="24"/>
        </w:rPr>
        <w:t xml:space="preserve"> are exposed to a variety of risks. CBC wants us to help them manage the risks associated with mortgage bonds. We found a mispricing of GNMA ARMs in the market and there is an opportunity to share the profits with the client using their $500 million capital while addressing </w:t>
      </w:r>
      <w:proofErr w:type="gramStart"/>
      <w:r>
        <w:rPr>
          <w:sz w:val="24"/>
          <w:szCs w:val="24"/>
        </w:rPr>
        <w:t>all of</w:t>
      </w:r>
      <w:proofErr w:type="gramEnd"/>
      <w:r>
        <w:rPr>
          <w:sz w:val="24"/>
          <w:szCs w:val="24"/>
        </w:rPr>
        <w:t xml:space="preserve"> their risk concerns.</w:t>
      </w:r>
    </w:p>
    <w:p w14:paraId="3882EB2E" w14:textId="77777777" w:rsidR="005C1281" w:rsidRDefault="005C1281">
      <w:pPr>
        <w:spacing w:line="480" w:lineRule="auto"/>
        <w:rPr>
          <w:sz w:val="24"/>
          <w:szCs w:val="24"/>
        </w:rPr>
      </w:pPr>
    </w:p>
    <w:p w14:paraId="1185208D" w14:textId="77777777" w:rsidR="005C1281" w:rsidRDefault="00000000">
      <w:pPr>
        <w:spacing w:line="480" w:lineRule="auto"/>
        <w:rPr>
          <w:b/>
          <w:i/>
          <w:sz w:val="24"/>
          <w:szCs w:val="24"/>
          <w:u w:val="single"/>
        </w:rPr>
      </w:pPr>
      <w:r>
        <w:rPr>
          <w:b/>
          <w:i/>
          <w:sz w:val="24"/>
          <w:szCs w:val="24"/>
          <w:u w:val="single"/>
        </w:rPr>
        <w:t>Alternatives</w:t>
      </w:r>
    </w:p>
    <w:p w14:paraId="3B3E76B9" w14:textId="77777777" w:rsidR="005C1281" w:rsidRDefault="00000000">
      <w:pPr>
        <w:spacing w:line="480" w:lineRule="auto"/>
        <w:rPr>
          <w:sz w:val="24"/>
          <w:szCs w:val="24"/>
        </w:rPr>
      </w:pPr>
      <w:r>
        <w:rPr>
          <w:sz w:val="24"/>
          <w:szCs w:val="24"/>
        </w:rPr>
        <w:tab/>
        <w:t>CBC considers 2 alternatives to getting in a GNMA ARMs deal with us: rolling Eurodollar and rolling treasury rates. These 2 alternatives are not attractive for the following reasons:</w:t>
      </w:r>
    </w:p>
    <w:p w14:paraId="665D6535" w14:textId="77777777" w:rsidR="005C1281" w:rsidRDefault="00000000">
      <w:pPr>
        <w:numPr>
          <w:ilvl w:val="0"/>
          <w:numId w:val="4"/>
        </w:numPr>
        <w:spacing w:line="480" w:lineRule="auto"/>
        <w:rPr>
          <w:sz w:val="24"/>
          <w:szCs w:val="24"/>
        </w:rPr>
      </w:pPr>
      <w:r>
        <w:rPr>
          <w:sz w:val="24"/>
          <w:szCs w:val="24"/>
        </w:rPr>
        <w:t>Rolling Treasuries: CBC will only lose money because their borrowing cost is LIBOR - 35bps. The TED spreads for all years are significantly higher than 35bps. They will always be rolling at a rate lower than their borrowing cost. The PV distribution of rolling treasuries and paying their borrowing costs is:</w:t>
      </w:r>
    </w:p>
    <w:p w14:paraId="28007F77" w14:textId="77777777" w:rsidR="005C1281" w:rsidRDefault="00000000">
      <w:pPr>
        <w:spacing w:line="480" w:lineRule="auto"/>
        <w:ind w:left="1440"/>
        <w:jc w:val="center"/>
        <w:rPr>
          <w:sz w:val="24"/>
          <w:szCs w:val="24"/>
        </w:rPr>
      </w:pPr>
      <w:r>
        <w:rPr>
          <w:noProof/>
          <w:sz w:val="24"/>
          <w:szCs w:val="24"/>
        </w:rPr>
        <w:lastRenderedPageBreak/>
        <w:drawing>
          <wp:inline distT="114300" distB="114300" distL="114300" distR="114300" wp14:anchorId="1C15C552" wp14:editId="0A3F93F7">
            <wp:extent cx="2690759" cy="194429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2690759" cy="1944291"/>
                    </a:xfrm>
                    <a:prstGeom prst="rect">
                      <a:avLst/>
                    </a:prstGeom>
                    <a:ln/>
                  </pic:spPr>
                </pic:pic>
              </a:graphicData>
            </a:graphic>
          </wp:inline>
        </w:drawing>
      </w:r>
    </w:p>
    <w:p w14:paraId="3626D092" w14:textId="77777777" w:rsidR="005C1281" w:rsidRDefault="00000000">
      <w:pPr>
        <w:numPr>
          <w:ilvl w:val="0"/>
          <w:numId w:val="4"/>
        </w:numPr>
        <w:spacing w:line="480" w:lineRule="auto"/>
        <w:rPr>
          <w:sz w:val="24"/>
          <w:szCs w:val="24"/>
        </w:rPr>
      </w:pPr>
      <w:r>
        <w:rPr>
          <w:sz w:val="24"/>
          <w:szCs w:val="24"/>
        </w:rPr>
        <w:t>Rolling Eurodollar: They will only make 35bps a year, since they will be rolling at LIBOR. The PV distribution of rolling treasuries and paying their borrowing costs is:</w:t>
      </w:r>
    </w:p>
    <w:p w14:paraId="0A1C50CD" w14:textId="77777777" w:rsidR="005C1281" w:rsidRDefault="00000000">
      <w:pPr>
        <w:spacing w:line="480" w:lineRule="auto"/>
        <w:ind w:left="1440"/>
        <w:jc w:val="center"/>
        <w:rPr>
          <w:sz w:val="24"/>
          <w:szCs w:val="24"/>
        </w:rPr>
      </w:pPr>
      <w:r>
        <w:rPr>
          <w:noProof/>
          <w:sz w:val="24"/>
          <w:szCs w:val="24"/>
        </w:rPr>
        <w:drawing>
          <wp:inline distT="114300" distB="114300" distL="114300" distR="114300" wp14:anchorId="441C0E8C" wp14:editId="0366E3F5">
            <wp:extent cx="2850849" cy="2037829"/>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850849" cy="2037829"/>
                    </a:xfrm>
                    <a:prstGeom prst="rect">
                      <a:avLst/>
                    </a:prstGeom>
                    <a:ln/>
                  </pic:spPr>
                </pic:pic>
              </a:graphicData>
            </a:graphic>
          </wp:inline>
        </w:drawing>
      </w:r>
    </w:p>
    <w:p w14:paraId="7B548131" w14:textId="77777777" w:rsidR="005C1281" w:rsidRDefault="00000000">
      <w:pPr>
        <w:spacing w:line="480" w:lineRule="auto"/>
        <w:rPr>
          <w:b/>
          <w:i/>
          <w:sz w:val="24"/>
          <w:szCs w:val="24"/>
          <w:u w:val="single"/>
        </w:rPr>
      </w:pPr>
      <w:r>
        <w:rPr>
          <w:b/>
          <w:i/>
          <w:sz w:val="24"/>
          <w:szCs w:val="24"/>
          <w:u w:val="single"/>
        </w:rPr>
        <w:t>Client Risk Concerns</w:t>
      </w:r>
    </w:p>
    <w:p w14:paraId="73ED21E5" w14:textId="77777777" w:rsidR="005C1281" w:rsidRDefault="00000000">
      <w:pPr>
        <w:spacing w:line="480" w:lineRule="auto"/>
        <w:rPr>
          <w:sz w:val="24"/>
          <w:szCs w:val="24"/>
        </w:rPr>
      </w:pPr>
      <w:r>
        <w:rPr>
          <w:sz w:val="24"/>
          <w:szCs w:val="24"/>
        </w:rPr>
        <w:tab/>
        <w:t>Buying a 3-year GNMA ARMs exposes CBC to 3 different risks, which they want WD to manage:</w:t>
      </w:r>
    </w:p>
    <w:p w14:paraId="6B3A3A03" w14:textId="77777777" w:rsidR="005C1281" w:rsidRDefault="00000000">
      <w:pPr>
        <w:numPr>
          <w:ilvl w:val="0"/>
          <w:numId w:val="5"/>
        </w:numPr>
        <w:spacing w:line="480" w:lineRule="auto"/>
        <w:rPr>
          <w:sz w:val="24"/>
          <w:szCs w:val="24"/>
        </w:rPr>
      </w:pPr>
      <w:r>
        <w:rPr>
          <w:sz w:val="24"/>
          <w:szCs w:val="24"/>
        </w:rPr>
        <w:t>LIBOR risk: The client is exposed to the risk that LIBOR will go up, which will make their borrowing cost to fund the position increase.</w:t>
      </w:r>
    </w:p>
    <w:p w14:paraId="33D06D9E" w14:textId="77777777" w:rsidR="005C1281" w:rsidRDefault="00000000">
      <w:pPr>
        <w:numPr>
          <w:ilvl w:val="0"/>
          <w:numId w:val="5"/>
        </w:numPr>
        <w:spacing w:line="480" w:lineRule="auto"/>
        <w:rPr>
          <w:sz w:val="24"/>
          <w:szCs w:val="24"/>
        </w:rPr>
      </w:pPr>
      <w:r>
        <w:rPr>
          <w:sz w:val="24"/>
          <w:szCs w:val="24"/>
        </w:rPr>
        <w:t xml:space="preserve">Prepayment risk: The mortgage holders may prepay their mortgages, making the interest component of the payments less. The principle and </w:t>
      </w:r>
      <w:r>
        <w:rPr>
          <w:sz w:val="24"/>
          <w:szCs w:val="24"/>
        </w:rPr>
        <w:lastRenderedPageBreak/>
        <w:t>prepayment rates are forecasted to be 10% or 40%, depending on the interest rate each year.</w:t>
      </w:r>
    </w:p>
    <w:p w14:paraId="5E0A08DC" w14:textId="77777777" w:rsidR="005C1281" w:rsidRDefault="00000000">
      <w:pPr>
        <w:numPr>
          <w:ilvl w:val="0"/>
          <w:numId w:val="5"/>
        </w:numPr>
        <w:spacing w:line="480" w:lineRule="auto"/>
        <w:rPr>
          <w:sz w:val="24"/>
          <w:szCs w:val="24"/>
        </w:rPr>
      </w:pPr>
      <w:r>
        <w:rPr>
          <w:sz w:val="24"/>
          <w:szCs w:val="24"/>
        </w:rPr>
        <w:t>Repo risk: The client may not get back the $500 million at the end of year 3 to pay back their parent bank.</w:t>
      </w:r>
    </w:p>
    <w:p w14:paraId="4202BE2F" w14:textId="77777777" w:rsidR="005C1281" w:rsidRDefault="00000000">
      <w:pPr>
        <w:spacing w:line="480" w:lineRule="auto"/>
        <w:rPr>
          <w:sz w:val="24"/>
          <w:szCs w:val="24"/>
        </w:rPr>
      </w:pPr>
      <w:r>
        <w:rPr>
          <w:b/>
          <w:i/>
          <w:sz w:val="24"/>
          <w:szCs w:val="24"/>
          <w:u w:val="single"/>
        </w:rPr>
        <w:tab/>
      </w:r>
      <w:r>
        <w:rPr>
          <w:sz w:val="24"/>
          <w:szCs w:val="24"/>
        </w:rPr>
        <w:t>We can help the client manage these risks, receive a healthier return than their alternative options, and take a cut of the profits for ourselves with the below term structures.</w:t>
      </w:r>
    </w:p>
    <w:p w14:paraId="7E46D7E1" w14:textId="77777777" w:rsidR="005C1281" w:rsidRDefault="005C1281">
      <w:pPr>
        <w:spacing w:line="480" w:lineRule="auto"/>
        <w:rPr>
          <w:sz w:val="24"/>
          <w:szCs w:val="24"/>
        </w:rPr>
      </w:pPr>
    </w:p>
    <w:p w14:paraId="7ED4C586" w14:textId="77777777" w:rsidR="005C1281" w:rsidRDefault="00000000">
      <w:pPr>
        <w:spacing w:line="480" w:lineRule="auto"/>
        <w:rPr>
          <w:b/>
          <w:i/>
          <w:sz w:val="24"/>
          <w:szCs w:val="24"/>
          <w:u w:val="single"/>
        </w:rPr>
      </w:pPr>
      <w:r>
        <w:rPr>
          <w:b/>
          <w:i/>
          <w:sz w:val="24"/>
          <w:szCs w:val="24"/>
          <w:u w:val="single"/>
        </w:rPr>
        <w:t>Deal Terms</w:t>
      </w:r>
    </w:p>
    <w:p w14:paraId="43AAB05F" w14:textId="77777777" w:rsidR="005C1281" w:rsidRDefault="00000000">
      <w:pPr>
        <w:spacing w:line="480" w:lineRule="auto"/>
        <w:rPr>
          <w:sz w:val="24"/>
          <w:szCs w:val="24"/>
        </w:rPr>
      </w:pPr>
      <w:r>
        <w:rPr>
          <w:sz w:val="24"/>
          <w:szCs w:val="24"/>
        </w:rPr>
        <w:tab/>
        <w:t>We will engage with the client in a standard three-year GNMA swap. CBC would pay us $500 million in exchange for a series of floating payments above their borrowing cost from year 1 to year 3, and a lump sum payment of $500 million at the end of year 3 to repay their parent bank. We will pay CBC the LIBOR at the end of each year plus a spread of 5bps. This is 5bps above the return from rolling Eurodollar, which completely hedges risk (1) and risk (3), and on top of that, hedges default risk since GNMA ARMs are insured against default.</w:t>
      </w:r>
    </w:p>
    <w:p w14:paraId="063D0EBF" w14:textId="77777777" w:rsidR="005C1281" w:rsidRDefault="00000000">
      <w:pPr>
        <w:spacing w:line="480" w:lineRule="auto"/>
        <w:ind w:firstLine="720"/>
        <w:rPr>
          <w:sz w:val="24"/>
          <w:szCs w:val="24"/>
        </w:rPr>
      </w:pPr>
      <w:r>
        <w:rPr>
          <w:sz w:val="24"/>
          <w:szCs w:val="24"/>
        </w:rPr>
        <w:t>In exchange for those payments, we will take over all payments made by the GNMA ARMs. This means that all the prepayment risks are passed from them to us, which hedges risk (2) for the client. We will have to hedge these risks ourselves.</w:t>
      </w:r>
    </w:p>
    <w:p w14:paraId="6F6B6DE1" w14:textId="77777777" w:rsidR="005C1281" w:rsidRDefault="00000000">
      <w:pPr>
        <w:spacing w:line="480" w:lineRule="auto"/>
        <w:ind w:firstLine="720"/>
        <w:rPr>
          <w:sz w:val="24"/>
          <w:szCs w:val="24"/>
        </w:rPr>
      </w:pPr>
      <w:r>
        <w:rPr>
          <w:sz w:val="24"/>
          <w:szCs w:val="24"/>
        </w:rPr>
        <w:t xml:space="preserve">According to our analysis, 5bps is a fair premium to give the client because it gives us a good enough 95% </w:t>
      </w:r>
      <w:proofErr w:type="spellStart"/>
      <w:r>
        <w:rPr>
          <w:sz w:val="24"/>
          <w:szCs w:val="24"/>
        </w:rPr>
        <w:t>VaR</w:t>
      </w:r>
      <w:proofErr w:type="spellEnd"/>
      <w:r>
        <w:rPr>
          <w:sz w:val="24"/>
          <w:szCs w:val="24"/>
        </w:rPr>
        <w:t xml:space="preserve"> (discussed below), while still giving the client a healthy spread.</w:t>
      </w:r>
    </w:p>
    <w:p w14:paraId="07634F4C" w14:textId="77777777" w:rsidR="005C1281" w:rsidRDefault="00000000">
      <w:pPr>
        <w:spacing w:line="480" w:lineRule="auto"/>
        <w:rPr>
          <w:b/>
          <w:i/>
          <w:sz w:val="24"/>
          <w:szCs w:val="24"/>
          <w:u w:val="single"/>
        </w:rPr>
      </w:pPr>
      <w:r>
        <w:rPr>
          <w:sz w:val="24"/>
          <w:szCs w:val="24"/>
        </w:rPr>
        <w:lastRenderedPageBreak/>
        <w:tab/>
        <w:t>From year 4 to year 9, WD will continue to receive the cash flows of the GNMA ARMs (principal, interest, and prepayments). At the end of year 10, WD will receive the remaining balance of the GNMA ARMs and interest. This number varies depending on the prepayment rates. The cash flows for both CBC and WD are:</w:t>
      </w:r>
      <w:r>
        <w:rPr>
          <w:noProof/>
          <w:sz w:val="24"/>
          <w:szCs w:val="24"/>
        </w:rPr>
        <w:drawing>
          <wp:inline distT="114300" distB="114300" distL="114300" distR="114300" wp14:anchorId="1D43F257" wp14:editId="52B4C042">
            <wp:extent cx="7729538" cy="335954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729538" cy="3359542"/>
                    </a:xfrm>
                    <a:prstGeom prst="rect">
                      <a:avLst/>
                    </a:prstGeom>
                    <a:ln/>
                  </pic:spPr>
                </pic:pic>
              </a:graphicData>
            </a:graphic>
          </wp:inline>
        </w:drawing>
      </w:r>
    </w:p>
    <w:p w14:paraId="07E5C225" w14:textId="77777777" w:rsidR="005C1281" w:rsidRDefault="00000000">
      <w:pPr>
        <w:spacing w:line="480" w:lineRule="auto"/>
        <w:rPr>
          <w:b/>
          <w:i/>
          <w:sz w:val="24"/>
          <w:szCs w:val="24"/>
          <w:u w:val="single"/>
        </w:rPr>
      </w:pPr>
      <w:r>
        <w:rPr>
          <w:b/>
          <w:i/>
          <w:sz w:val="24"/>
          <w:szCs w:val="24"/>
          <w:u w:val="single"/>
        </w:rPr>
        <w:t>Modeling</w:t>
      </w:r>
    </w:p>
    <w:p w14:paraId="1455CD60" w14:textId="77777777" w:rsidR="005C1281" w:rsidRDefault="00000000">
      <w:pPr>
        <w:numPr>
          <w:ilvl w:val="0"/>
          <w:numId w:val="3"/>
        </w:numPr>
        <w:spacing w:line="480" w:lineRule="auto"/>
        <w:rPr>
          <w:sz w:val="24"/>
          <w:szCs w:val="24"/>
        </w:rPr>
      </w:pPr>
      <w:r>
        <w:rPr>
          <w:sz w:val="24"/>
          <w:szCs w:val="24"/>
          <w:u w:val="single"/>
        </w:rPr>
        <w:t>Data</w:t>
      </w:r>
      <w:r>
        <w:rPr>
          <w:sz w:val="24"/>
          <w:szCs w:val="24"/>
        </w:rPr>
        <w:t>: We use the current (provided) treasury rate, TED spread, treasury volatility, and TED spread volatility term structure to model the payments.</w:t>
      </w:r>
    </w:p>
    <w:p w14:paraId="3AB49DBD" w14:textId="77777777" w:rsidR="005C1281" w:rsidRDefault="00000000">
      <w:pPr>
        <w:numPr>
          <w:ilvl w:val="0"/>
          <w:numId w:val="3"/>
        </w:numPr>
        <w:spacing w:line="480" w:lineRule="auto"/>
        <w:rPr>
          <w:sz w:val="24"/>
          <w:szCs w:val="24"/>
        </w:rPr>
      </w:pPr>
      <w:r>
        <w:rPr>
          <w:sz w:val="24"/>
          <w:szCs w:val="24"/>
          <w:u w:val="single"/>
        </w:rPr>
        <w:t>Simulations</w:t>
      </w:r>
      <w:r>
        <w:rPr>
          <w:sz w:val="24"/>
          <w:szCs w:val="24"/>
        </w:rPr>
        <w:t xml:space="preserve">: We did 1,000,000 Monte Carlo simulations for the treasury rate and TED spread. Assuming correlation = 0.1 for the </w:t>
      </w:r>
      <w:proofErr w:type="spellStart"/>
      <w:r>
        <w:rPr>
          <w:sz w:val="24"/>
          <w:szCs w:val="24"/>
        </w:rPr>
        <w:t>dW</w:t>
      </w:r>
      <w:proofErr w:type="spellEnd"/>
      <w:r>
        <w:rPr>
          <w:sz w:val="24"/>
          <w:szCs w:val="24"/>
        </w:rPr>
        <w:t xml:space="preserve"> terms, we use the Hull-White interest rates model to model the treasury rate paths and the TED spread paths. The Hull-White model variation that we use is:</w:t>
      </w:r>
    </w:p>
    <w:p w14:paraId="3E142889" w14:textId="77777777" w:rsidR="005C1281" w:rsidRDefault="00000000">
      <w:pPr>
        <w:spacing w:line="480" w:lineRule="auto"/>
        <w:ind w:left="1440"/>
        <w:jc w:val="center"/>
        <w:rPr>
          <w:sz w:val="24"/>
          <w:szCs w:val="24"/>
        </w:rPr>
      </w:pPr>
      <w:r>
        <w:rPr>
          <w:noProof/>
          <w:sz w:val="24"/>
          <w:szCs w:val="24"/>
        </w:rPr>
        <w:drawing>
          <wp:inline distT="114300" distB="114300" distL="114300" distR="114300" wp14:anchorId="7B4076D8" wp14:editId="731C389F">
            <wp:extent cx="2571750" cy="40005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71750" cy="400050"/>
                    </a:xfrm>
                    <a:prstGeom prst="rect">
                      <a:avLst/>
                    </a:prstGeom>
                    <a:ln/>
                  </pic:spPr>
                </pic:pic>
              </a:graphicData>
            </a:graphic>
          </wp:inline>
        </w:drawing>
      </w:r>
    </w:p>
    <w:p w14:paraId="2663F78C" w14:textId="77777777" w:rsidR="005C1281" w:rsidRDefault="00000000">
      <w:pPr>
        <w:spacing w:line="480" w:lineRule="auto"/>
        <w:ind w:left="1440"/>
        <w:rPr>
          <w:sz w:val="24"/>
          <w:szCs w:val="24"/>
        </w:rPr>
      </w:pPr>
      <w:r>
        <w:rPr>
          <w:sz w:val="24"/>
          <w:szCs w:val="24"/>
        </w:rPr>
        <w:lastRenderedPageBreak/>
        <w:t xml:space="preserve">We calibrate </w:t>
      </w:r>
      <w:proofErr w:type="spellStart"/>
      <w:r>
        <w:rPr>
          <w:rFonts w:ascii="Roboto" w:eastAsia="Roboto" w:hAnsi="Roboto" w:cs="Roboto"/>
          <w:color w:val="212121"/>
          <w:sz w:val="29"/>
          <w:szCs w:val="29"/>
        </w:rPr>
        <w:t>θt</w:t>
      </w:r>
      <w:proofErr w:type="spellEnd"/>
      <w:r>
        <w:rPr>
          <w:rFonts w:ascii="Roboto" w:eastAsia="Roboto" w:hAnsi="Roboto" w:cs="Roboto"/>
          <w:color w:val="212121"/>
          <w:sz w:val="29"/>
          <w:szCs w:val="29"/>
        </w:rPr>
        <w:t xml:space="preserve"> </w:t>
      </w:r>
      <w:r>
        <w:rPr>
          <w:sz w:val="24"/>
          <w:szCs w:val="24"/>
        </w:rPr>
        <w:t xml:space="preserve">by minimizing the squared difference between the empirical and market discount factors using an initial </w:t>
      </w:r>
      <w:r>
        <w:rPr>
          <w:rFonts w:ascii="Roboto" w:eastAsia="Roboto" w:hAnsi="Roboto" w:cs="Roboto"/>
          <w:color w:val="212121"/>
          <w:sz w:val="29"/>
          <w:szCs w:val="29"/>
        </w:rPr>
        <w:t xml:space="preserve">θ </w:t>
      </w:r>
      <w:r>
        <w:rPr>
          <w:sz w:val="24"/>
          <w:szCs w:val="24"/>
        </w:rPr>
        <w:t xml:space="preserve">guess of 0.03 and mean reversion rate </w:t>
      </w:r>
      <w:r>
        <w:rPr>
          <w:color w:val="212121"/>
          <w:sz w:val="29"/>
          <w:szCs w:val="29"/>
        </w:rPr>
        <w:t xml:space="preserve">α </w:t>
      </w:r>
      <w:r>
        <w:rPr>
          <w:color w:val="212121"/>
          <w:sz w:val="24"/>
          <w:szCs w:val="24"/>
        </w:rPr>
        <w:t>of 0.1</w:t>
      </w:r>
      <w:r>
        <w:rPr>
          <w:sz w:val="24"/>
          <w:szCs w:val="24"/>
        </w:rPr>
        <w:t xml:space="preserve">. The calibrated </w:t>
      </w:r>
      <w:r>
        <w:rPr>
          <w:rFonts w:ascii="Roboto" w:eastAsia="Roboto" w:hAnsi="Roboto" w:cs="Roboto"/>
          <w:color w:val="212121"/>
          <w:sz w:val="29"/>
          <w:szCs w:val="29"/>
        </w:rPr>
        <w:t xml:space="preserve">θ </w:t>
      </w:r>
      <w:r>
        <w:rPr>
          <w:sz w:val="24"/>
          <w:szCs w:val="24"/>
        </w:rPr>
        <w:t>for each period is:</w:t>
      </w:r>
    </w:p>
    <w:p w14:paraId="641C7F4A" w14:textId="77777777" w:rsidR="005C1281" w:rsidRDefault="00000000">
      <w:pPr>
        <w:spacing w:line="480" w:lineRule="auto"/>
        <w:ind w:left="1440"/>
        <w:rPr>
          <w:sz w:val="24"/>
          <w:szCs w:val="24"/>
        </w:rPr>
      </w:pPr>
      <w:r>
        <w:rPr>
          <w:noProof/>
          <w:sz w:val="24"/>
          <w:szCs w:val="24"/>
        </w:rPr>
        <w:drawing>
          <wp:inline distT="114300" distB="114300" distL="114300" distR="114300" wp14:anchorId="1CB52B38" wp14:editId="6D47B5C5">
            <wp:extent cx="5738813" cy="29429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8813" cy="294298"/>
                    </a:xfrm>
                    <a:prstGeom prst="rect">
                      <a:avLst/>
                    </a:prstGeom>
                    <a:ln/>
                  </pic:spPr>
                </pic:pic>
              </a:graphicData>
            </a:graphic>
          </wp:inline>
        </w:drawing>
      </w:r>
    </w:p>
    <w:p w14:paraId="344C1406" w14:textId="77777777" w:rsidR="005C1281" w:rsidRDefault="00000000">
      <w:pPr>
        <w:spacing w:line="480" w:lineRule="auto"/>
        <w:ind w:left="1440"/>
        <w:rPr>
          <w:sz w:val="24"/>
          <w:szCs w:val="24"/>
        </w:rPr>
      </w:pPr>
      <w:r>
        <w:rPr>
          <w:sz w:val="24"/>
          <w:szCs w:val="24"/>
        </w:rPr>
        <w:t xml:space="preserve">We use the same process for the calibration of the </w:t>
      </w:r>
      <w:proofErr w:type="spellStart"/>
      <w:r>
        <w:rPr>
          <w:rFonts w:ascii="Roboto" w:eastAsia="Roboto" w:hAnsi="Roboto" w:cs="Roboto"/>
          <w:color w:val="212121"/>
          <w:sz w:val="29"/>
          <w:szCs w:val="29"/>
        </w:rPr>
        <w:t>θt</w:t>
      </w:r>
      <w:proofErr w:type="spellEnd"/>
      <w:r>
        <w:rPr>
          <w:rFonts w:ascii="Roboto" w:eastAsia="Roboto" w:hAnsi="Roboto" w:cs="Roboto"/>
          <w:color w:val="212121"/>
          <w:sz w:val="24"/>
          <w:szCs w:val="24"/>
        </w:rPr>
        <w:t xml:space="preserve"> </w:t>
      </w:r>
      <w:r>
        <w:rPr>
          <w:sz w:val="24"/>
          <w:szCs w:val="24"/>
        </w:rPr>
        <w:t>term for the TED spread paths with the mean reversion rate of 1.8 and initial TED spread guess of 0.03. The calibrated theta is:</w:t>
      </w:r>
    </w:p>
    <w:p w14:paraId="65A8F15C" w14:textId="77777777" w:rsidR="005C1281" w:rsidRDefault="00000000">
      <w:pPr>
        <w:spacing w:line="480" w:lineRule="auto"/>
        <w:ind w:left="1440"/>
        <w:rPr>
          <w:sz w:val="24"/>
          <w:szCs w:val="24"/>
        </w:rPr>
      </w:pPr>
      <w:r>
        <w:rPr>
          <w:noProof/>
          <w:sz w:val="24"/>
          <w:szCs w:val="24"/>
        </w:rPr>
        <w:drawing>
          <wp:inline distT="114300" distB="114300" distL="114300" distR="114300" wp14:anchorId="731529C5" wp14:editId="0DF0574A">
            <wp:extent cx="5748338" cy="28575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48338" cy="285750"/>
                    </a:xfrm>
                    <a:prstGeom prst="rect">
                      <a:avLst/>
                    </a:prstGeom>
                    <a:ln/>
                  </pic:spPr>
                </pic:pic>
              </a:graphicData>
            </a:graphic>
          </wp:inline>
        </w:drawing>
      </w:r>
    </w:p>
    <w:p w14:paraId="1D4045B1" w14:textId="77777777" w:rsidR="005C1281" w:rsidRDefault="00000000">
      <w:pPr>
        <w:spacing w:line="480" w:lineRule="auto"/>
        <w:ind w:left="1440"/>
        <w:rPr>
          <w:sz w:val="24"/>
          <w:szCs w:val="24"/>
        </w:rPr>
      </w:pPr>
      <w:r>
        <w:rPr>
          <w:sz w:val="24"/>
          <w:szCs w:val="24"/>
        </w:rPr>
        <w:t>We decided to use the Hull-White model over the Black-</w:t>
      </w:r>
      <w:proofErr w:type="spellStart"/>
      <w:r>
        <w:rPr>
          <w:sz w:val="24"/>
          <w:szCs w:val="24"/>
        </w:rPr>
        <w:t>Derman</w:t>
      </w:r>
      <w:proofErr w:type="spellEnd"/>
      <w:r>
        <w:rPr>
          <w:sz w:val="24"/>
          <w:szCs w:val="24"/>
        </w:rPr>
        <w:t>-Toy model because of our familiarity with the model and its generality/popularity.</w:t>
      </w:r>
    </w:p>
    <w:p w14:paraId="45BE6706" w14:textId="77777777" w:rsidR="005C1281" w:rsidRDefault="00000000">
      <w:pPr>
        <w:numPr>
          <w:ilvl w:val="0"/>
          <w:numId w:val="2"/>
        </w:numPr>
        <w:spacing w:line="480" w:lineRule="auto"/>
        <w:rPr>
          <w:sz w:val="24"/>
          <w:szCs w:val="24"/>
        </w:rPr>
      </w:pPr>
      <w:r>
        <w:rPr>
          <w:sz w:val="24"/>
          <w:szCs w:val="24"/>
          <w:u w:val="single"/>
        </w:rPr>
        <w:t>Rates Calculations</w:t>
      </w:r>
      <w:r>
        <w:rPr>
          <w:sz w:val="24"/>
          <w:szCs w:val="24"/>
        </w:rPr>
        <w:t xml:space="preserve">: We created a matrix for each of the rates calculated where each row is one path, and each column is one period. The rates needed to be calculated are LIBOR, GNMA rate, and Prepayment rate. </w:t>
      </w:r>
    </w:p>
    <w:p w14:paraId="34833536" w14:textId="77777777" w:rsidR="005C1281" w:rsidRDefault="00000000">
      <w:pPr>
        <w:numPr>
          <w:ilvl w:val="1"/>
          <w:numId w:val="2"/>
        </w:numPr>
        <w:spacing w:line="480" w:lineRule="auto"/>
        <w:rPr>
          <w:sz w:val="24"/>
          <w:szCs w:val="24"/>
        </w:rPr>
      </w:pPr>
      <w:r>
        <w:rPr>
          <w:sz w:val="24"/>
          <w:szCs w:val="24"/>
        </w:rPr>
        <w:t>LIBOR: calibrated and simulated CMT rate plus the TED spread.</w:t>
      </w:r>
    </w:p>
    <w:p w14:paraId="289D1EE7" w14:textId="77777777" w:rsidR="005C1281" w:rsidRDefault="00000000">
      <w:pPr>
        <w:numPr>
          <w:ilvl w:val="1"/>
          <w:numId w:val="2"/>
        </w:numPr>
        <w:spacing w:line="480" w:lineRule="auto"/>
        <w:rPr>
          <w:sz w:val="24"/>
          <w:szCs w:val="24"/>
        </w:rPr>
      </w:pPr>
      <w:r>
        <w:rPr>
          <w:sz w:val="24"/>
          <w:szCs w:val="24"/>
        </w:rPr>
        <w:t>GNMA rate: CMT rate plus teaser rate and depending on each path, seasoned rate subjected to a periodic and lifetime cap.</w:t>
      </w:r>
    </w:p>
    <w:p w14:paraId="2EB745EE" w14:textId="77777777" w:rsidR="005C1281" w:rsidRDefault="00000000">
      <w:pPr>
        <w:numPr>
          <w:ilvl w:val="1"/>
          <w:numId w:val="2"/>
        </w:numPr>
        <w:spacing w:line="480" w:lineRule="auto"/>
        <w:rPr>
          <w:sz w:val="24"/>
          <w:szCs w:val="24"/>
        </w:rPr>
      </w:pPr>
      <w:r>
        <w:rPr>
          <w:sz w:val="24"/>
          <w:szCs w:val="24"/>
        </w:rPr>
        <w:t>Prepayment rate: 10% or 40% depending on whether it financially makes sense to prepay in each period in each path. It financially makes sense to prepay if the spread between the GNMA rate and CMT rate plus teaser is higher than the threshold of 40bps (bank’s charge of closing costs).</w:t>
      </w:r>
    </w:p>
    <w:p w14:paraId="48029646" w14:textId="77777777" w:rsidR="005C1281" w:rsidRDefault="00000000">
      <w:pPr>
        <w:numPr>
          <w:ilvl w:val="0"/>
          <w:numId w:val="2"/>
        </w:numPr>
        <w:spacing w:line="480" w:lineRule="auto"/>
        <w:rPr>
          <w:sz w:val="24"/>
          <w:szCs w:val="24"/>
        </w:rPr>
      </w:pPr>
      <w:r>
        <w:rPr>
          <w:sz w:val="24"/>
          <w:szCs w:val="24"/>
          <w:u w:val="single"/>
        </w:rPr>
        <w:lastRenderedPageBreak/>
        <w:t>Cash Flows Calculations</w:t>
      </w:r>
      <w:r>
        <w:rPr>
          <w:sz w:val="24"/>
          <w:szCs w:val="24"/>
        </w:rPr>
        <w:t xml:space="preserve">: Given these rates and incorporating the service fee of 20bps, we can calculate the cash flows of each path. Some paths will have </w:t>
      </w:r>
      <w:proofErr w:type="gramStart"/>
      <w:r>
        <w:rPr>
          <w:sz w:val="24"/>
          <w:szCs w:val="24"/>
        </w:rPr>
        <w:t>a majority of</w:t>
      </w:r>
      <w:proofErr w:type="gramEnd"/>
      <w:r>
        <w:rPr>
          <w:sz w:val="24"/>
          <w:szCs w:val="24"/>
        </w:rPr>
        <w:t xml:space="preserve"> cash flows happening at the earlier periods because of prepayments of 40%, while others have no 40% prepayments, and the payment at year 10 will be much larger. The payments for different paths can look like:</w:t>
      </w:r>
    </w:p>
    <w:p w14:paraId="264BDAF7" w14:textId="77777777" w:rsidR="005C1281" w:rsidRDefault="00000000">
      <w:pPr>
        <w:spacing w:line="480" w:lineRule="auto"/>
        <w:ind w:left="1440"/>
        <w:jc w:val="center"/>
        <w:rPr>
          <w:sz w:val="24"/>
          <w:szCs w:val="24"/>
        </w:rPr>
      </w:pPr>
      <w:r>
        <w:rPr>
          <w:noProof/>
          <w:sz w:val="24"/>
          <w:szCs w:val="24"/>
        </w:rPr>
        <w:drawing>
          <wp:inline distT="114300" distB="114300" distL="114300" distR="114300" wp14:anchorId="58517AF0" wp14:editId="48E626D9">
            <wp:extent cx="3212950" cy="220146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3212950" cy="2201466"/>
                    </a:xfrm>
                    <a:prstGeom prst="rect">
                      <a:avLst/>
                    </a:prstGeom>
                    <a:ln/>
                  </pic:spPr>
                </pic:pic>
              </a:graphicData>
            </a:graphic>
          </wp:inline>
        </w:drawing>
      </w:r>
    </w:p>
    <w:p w14:paraId="471BFFE9" w14:textId="77777777" w:rsidR="005C1281" w:rsidRDefault="00000000">
      <w:pPr>
        <w:spacing w:line="480" w:lineRule="auto"/>
        <w:rPr>
          <w:b/>
          <w:i/>
          <w:sz w:val="24"/>
          <w:szCs w:val="24"/>
          <w:u w:val="single"/>
        </w:rPr>
      </w:pPr>
      <w:r>
        <w:rPr>
          <w:b/>
          <w:i/>
          <w:sz w:val="24"/>
          <w:szCs w:val="24"/>
          <w:u w:val="single"/>
        </w:rPr>
        <w:t>Valuations</w:t>
      </w:r>
    </w:p>
    <w:p w14:paraId="183560BE" w14:textId="77777777" w:rsidR="005C1281" w:rsidRDefault="00000000">
      <w:pPr>
        <w:spacing w:line="480" w:lineRule="auto"/>
        <w:rPr>
          <w:sz w:val="24"/>
          <w:szCs w:val="24"/>
        </w:rPr>
      </w:pPr>
      <w:r>
        <w:rPr>
          <w:sz w:val="24"/>
          <w:szCs w:val="24"/>
          <w:u w:val="single"/>
        </w:rPr>
        <w:tab/>
      </w:r>
      <w:r>
        <w:rPr>
          <w:sz w:val="24"/>
          <w:szCs w:val="24"/>
        </w:rPr>
        <w:t xml:space="preserve">We did valuations for the 3 options the client has, including the mean, 95% </w:t>
      </w:r>
      <w:proofErr w:type="spellStart"/>
      <w:r>
        <w:rPr>
          <w:sz w:val="24"/>
          <w:szCs w:val="24"/>
        </w:rPr>
        <w:t>VaR</w:t>
      </w:r>
      <w:proofErr w:type="spellEnd"/>
      <w:r>
        <w:rPr>
          <w:sz w:val="24"/>
          <w:szCs w:val="24"/>
        </w:rPr>
        <w:t xml:space="preserve">, and 99% </w:t>
      </w:r>
      <w:proofErr w:type="spellStart"/>
      <w:r>
        <w:rPr>
          <w:sz w:val="24"/>
          <w:szCs w:val="24"/>
        </w:rPr>
        <w:t>VaR.</w:t>
      </w:r>
      <w:proofErr w:type="spellEnd"/>
    </w:p>
    <w:p w14:paraId="52CD1D5B" w14:textId="77777777" w:rsidR="005C1281" w:rsidRDefault="005C1281">
      <w:pPr>
        <w:spacing w:line="48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205"/>
        <w:gridCol w:w="2340"/>
        <w:gridCol w:w="2340"/>
      </w:tblGrid>
      <w:tr w:rsidR="005C1281" w14:paraId="3B423553" w14:textId="77777777">
        <w:tc>
          <w:tcPr>
            <w:tcW w:w="2475" w:type="dxa"/>
            <w:shd w:val="clear" w:color="auto" w:fill="auto"/>
            <w:tcMar>
              <w:top w:w="100" w:type="dxa"/>
              <w:left w:w="100" w:type="dxa"/>
              <w:bottom w:w="100" w:type="dxa"/>
              <w:right w:w="100" w:type="dxa"/>
            </w:tcMar>
          </w:tcPr>
          <w:p w14:paraId="21EC1F13" w14:textId="77777777" w:rsidR="005C1281" w:rsidRDefault="00000000">
            <w:pPr>
              <w:widowControl w:val="0"/>
              <w:pBdr>
                <w:top w:val="nil"/>
                <w:left w:val="nil"/>
                <w:bottom w:val="nil"/>
                <w:right w:val="nil"/>
                <w:between w:val="nil"/>
              </w:pBdr>
              <w:spacing w:line="240" w:lineRule="auto"/>
              <w:rPr>
                <w:sz w:val="24"/>
                <w:szCs w:val="24"/>
              </w:rPr>
            </w:pPr>
            <w:r>
              <w:rPr>
                <w:sz w:val="24"/>
                <w:szCs w:val="24"/>
              </w:rPr>
              <w:t>Option/Value ($ mil)</w:t>
            </w:r>
          </w:p>
        </w:tc>
        <w:tc>
          <w:tcPr>
            <w:tcW w:w="2205" w:type="dxa"/>
            <w:shd w:val="clear" w:color="auto" w:fill="auto"/>
            <w:tcMar>
              <w:top w:w="100" w:type="dxa"/>
              <w:left w:w="100" w:type="dxa"/>
              <w:bottom w:w="100" w:type="dxa"/>
              <w:right w:w="100" w:type="dxa"/>
            </w:tcMar>
          </w:tcPr>
          <w:p w14:paraId="7A70EEC5" w14:textId="77777777" w:rsidR="005C1281" w:rsidRDefault="00000000">
            <w:pPr>
              <w:widowControl w:val="0"/>
              <w:pBdr>
                <w:top w:val="nil"/>
                <w:left w:val="nil"/>
                <w:bottom w:val="nil"/>
                <w:right w:val="nil"/>
                <w:between w:val="nil"/>
              </w:pBdr>
              <w:spacing w:line="240" w:lineRule="auto"/>
              <w:rPr>
                <w:sz w:val="24"/>
                <w:szCs w:val="24"/>
              </w:rPr>
            </w:pPr>
            <w:r>
              <w:rPr>
                <w:sz w:val="24"/>
                <w:szCs w:val="24"/>
              </w:rPr>
              <w:t>Mean</w:t>
            </w:r>
          </w:p>
        </w:tc>
        <w:tc>
          <w:tcPr>
            <w:tcW w:w="2340" w:type="dxa"/>
            <w:shd w:val="clear" w:color="auto" w:fill="auto"/>
            <w:tcMar>
              <w:top w:w="100" w:type="dxa"/>
              <w:left w:w="100" w:type="dxa"/>
              <w:bottom w:w="100" w:type="dxa"/>
              <w:right w:w="100" w:type="dxa"/>
            </w:tcMar>
          </w:tcPr>
          <w:p w14:paraId="5984F7B9" w14:textId="77777777" w:rsidR="005C1281" w:rsidRDefault="00000000">
            <w:pPr>
              <w:widowControl w:val="0"/>
              <w:pBdr>
                <w:top w:val="nil"/>
                <w:left w:val="nil"/>
                <w:bottom w:val="nil"/>
                <w:right w:val="nil"/>
                <w:between w:val="nil"/>
              </w:pBdr>
              <w:spacing w:line="240" w:lineRule="auto"/>
              <w:rPr>
                <w:sz w:val="24"/>
                <w:szCs w:val="24"/>
              </w:rPr>
            </w:pPr>
            <w:r>
              <w:rPr>
                <w:sz w:val="24"/>
                <w:szCs w:val="24"/>
              </w:rPr>
              <w:t xml:space="preserve">95% </w:t>
            </w:r>
            <w:proofErr w:type="spellStart"/>
            <w:r>
              <w:rPr>
                <w:sz w:val="24"/>
                <w:szCs w:val="24"/>
              </w:rPr>
              <w:t>VaR</w:t>
            </w:r>
            <w:proofErr w:type="spellEnd"/>
          </w:p>
        </w:tc>
        <w:tc>
          <w:tcPr>
            <w:tcW w:w="2340" w:type="dxa"/>
            <w:shd w:val="clear" w:color="auto" w:fill="auto"/>
            <w:tcMar>
              <w:top w:w="100" w:type="dxa"/>
              <w:left w:w="100" w:type="dxa"/>
              <w:bottom w:w="100" w:type="dxa"/>
              <w:right w:w="100" w:type="dxa"/>
            </w:tcMar>
          </w:tcPr>
          <w:p w14:paraId="5D204D4C" w14:textId="77777777" w:rsidR="005C1281" w:rsidRDefault="00000000">
            <w:pPr>
              <w:widowControl w:val="0"/>
              <w:pBdr>
                <w:top w:val="nil"/>
                <w:left w:val="nil"/>
                <w:bottom w:val="nil"/>
                <w:right w:val="nil"/>
                <w:between w:val="nil"/>
              </w:pBdr>
              <w:spacing w:line="240" w:lineRule="auto"/>
              <w:rPr>
                <w:sz w:val="24"/>
                <w:szCs w:val="24"/>
              </w:rPr>
            </w:pPr>
            <w:r>
              <w:rPr>
                <w:sz w:val="24"/>
                <w:szCs w:val="24"/>
              </w:rPr>
              <w:t xml:space="preserve">99% </w:t>
            </w:r>
            <w:proofErr w:type="spellStart"/>
            <w:r>
              <w:rPr>
                <w:sz w:val="24"/>
                <w:szCs w:val="24"/>
              </w:rPr>
              <w:t>VaR</w:t>
            </w:r>
            <w:proofErr w:type="spellEnd"/>
          </w:p>
        </w:tc>
      </w:tr>
      <w:tr w:rsidR="005C1281" w14:paraId="2D5DB9A8" w14:textId="77777777">
        <w:tc>
          <w:tcPr>
            <w:tcW w:w="2475" w:type="dxa"/>
            <w:shd w:val="clear" w:color="auto" w:fill="auto"/>
            <w:tcMar>
              <w:top w:w="100" w:type="dxa"/>
              <w:left w:w="100" w:type="dxa"/>
              <w:bottom w:w="100" w:type="dxa"/>
              <w:right w:w="100" w:type="dxa"/>
            </w:tcMar>
          </w:tcPr>
          <w:p w14:paraId="76048D63" w14:textId="77777777" w:rsidR="005C1281" w:rsidRDefault="00000000">
            <w:pPr>
              <w:widowControl w:val="0"/>
              <w:pBdr>
                <w:top w:val="nil"/>
                <w:left w:val="nil"/>
                <w:bottom w:val="nil"/>
                <w:right w:val="nil"/>
                <w:between w:val="nil"/>
              </w:pBdr>
              <w:spacing w:line="240" w:lineRule="auto"/>
              <w:rPr>
                <w:sz w:val="24"/>
                <w:szCs w:val="24"/>
              </w:rPr>
            </w:pPr>
            <w:r>
              <w:rPr>
                <w:sz w:val="24"/>
                <w:szCs w:val="24"/>
              </w:rPr>
              <w:t>Rolling CMT</w:t>
            </w:r>
          </w:p>
        </w:tc>
        <w:tc>
          <w:tcPr>
            <w:tcW w:w="2205" w:type="dxa"/>
            <w:shd w:val="clear" w:color="auto" w:fill="auto"/>
            <w:tcMar>
              <w:top w:w="100" w:type="dxa"/>
              <w:left w:w="100" w:type="dxa"/>
              <w:bottom w:w="100" w:type="dxa"/>
              <w:right w:w="100" w:type="dxa"/>
            </w:tcMar>
          </w:tcPr>
          <w:p w14:paraId="27B0FFCF" w14:textId="77777777" w:rsidR="005C1281" w:rsidRDefault="00000000">
            <w:pPr>
              <w:widowControl w:val="0"/>
              <w:spacing w:line="240" w:lineRule="auto"/>
              <w:rPr>
                <w:sz w:val="24"/>
                <w:szCs w:val="24"/>
              </w:rPr>
            </w:pPr>
            <w:r>
              <w:rPr>
                <w:sz w:val="24"/>
                <w:szCs w:val="24"/>
              </w:rPr>
              <w:t>-6.889 (0.328 SE)</w:t>
            </w:r>
          </w:p>
        </w:tc>
        <w:tc>
          <w:tcPr>
            <w:tcW w:w="2340" w:type="dxa"/>
            <w:shd w:val="clear" w:color="auto" w:fill="auto"/>
            <w:tcMar>
              <w:top w:w="100" w:type="dxa"/>
              <w:left w:w="100" w:type="dxa"/>
              <w:bottom w:w="100" w:type="dxa"/>
              <w:right w:w="100" w:type="dxa"/>
            </w:tcMar>
          </w:tcPr>
          <w:p w14:paraId="4C5270F4" w14:textId="77777777" w:rsidR="005C1281" w:rsidRDefault="00000000">
            <w:pPr>
              <w:widowControl w:val="0"/>
              <w:pBdr>
                <w:top w:val="nil"/>
                <w:left w:val="nil"/>
                <w:bottom w:val="nil"/>
                <w:right w:val="nil"/>
                <w:between w:val="nil"/>
              </w:pBdr>
              <w:spacing w:line="240" w:lineRule="auto"/>
              <w:rPr>
                <w:sz w:val="24"/>
                <w:szCs w:val="24"/>
              </w:rPr>
            </w:pPr>
            <w:r>
              <w:rPr>
                <w:sz w:val="24"/>
                <w:szCs w:val="24"/>
              </w:rPr>
              <w:t>-7.429</w:t>
            </w:r>
          </w:p>
        </w:tc>
        <w:tc>
          <w:tcPr>
            <w:tcW w:w="2340" w:type="dxa"/>
            <w:shd w:val="clear" w:color="auto" w:fill="auto"/>
            <w:tcMar>
              <w:top w:w="100" w:type="dxa"/>
              <w:left w:w="100" w:type="dxa"/>
              <w:bottom w:w="100" w:type="dxa"/>
              <w:right w:w="100" w:type="dxa"/>
            </w:tcMar>
          </w:tcPr>
          <w:p w14:paraId="11C428CB" w14:textId="77777777" w:rsidR="005C1281" w:rsidRDefault="00000000">
            <w:pPr>
              <w:widowControl w:val="0"/>
              <w:pBdr>
                <w:top w:val="nil"/>
                <w:left w:val="nil"/>
                <w:bottom w:val="nil"/>
                <w:right w:val="nil"/>
                <w:between w:val="nil"/>
              </w:pBdr>
              <w:spacing w:line="240" w:lineRule="auto"/>
              <w:rPr>
                <w:sz w:val="24"/>
                <w:szCs w:val="24"/>
              </w:rPr>
            </w:pPr>
            <w:r>
              <w:rPr>
                <w:sz w:val="24"/>
                <w:szCs w:val="24"/>
              </w:rPr>
              <w:t>-7.655</w:t>
            </w:r>
          </w:p>
        </w:tc>
      </w:tr>
      <w:tr w:rsidR="005C1281" w14:paraId="46293585" w14:textId="77777777">
        <w:tc>
          <w:tcPr>
            <w:tcW w:w="2475" w:type="dxa"/>
            <w:shd w:val="clear" w:color="auto" w:fill="auto"/>
            <w:tcMar>
              <w:top w:w="100" w:type="dxa"/>
              <w:left w:w="100" w:type="dxa"/>
              <w:bottom w:w="100" w:type="dxa"/>
              <w:right w:w="100" w:type="dxa"/>
            </w:tcMar>
          </w:tcPr>
          <w:p w14:paraId="7FA82790" w14:textId="77777777" w:rsidR="005C1281" w:rsidRDefault="00000000">
            <w:pPr>
              <w:widowControl w:val="0"/>
              <w:pBdr>
                <w:top w:val="nil"/>
                <w:left w:val="nil"/>
                <w:bottom w:val="nil"/>
                <w:right w:val="nil"/>
                <w:between w:val="nil"/>
              </w:pBdr>
              <w:spacing w:line="240" w:lineRule="auto"/>
              <w:rPr>
                <w:sz w:val="24"/>
                <w:szCs w:val="24"/>
              </w:rPr>
            </w:pPr>
            <w:r>
              <w:rPr>
                <w:sz w:val="24"/>
                <w:szCs w:val="24"/>
              </w:rPr>
              <w:t>Rolling Eurodollar</w:t>
            </w:r>
          </w:p>
        </w:tc>
        <w:tc>
          <w:tcPr>
            <w:tcW w:w="2205" w:type="dxa"/>
            <w:shd w:val="clear" w:color="auto" w:fill="auto"/>
            <w:tcMar>
              <w:top w:w="100" w:type="dxa"/>
              <w:left w:w="100" w:type="dxa"/>
              <w:bottom w:w="100" w:type="dxa"/>
              <w:right w:w="100" w:type="dxa"/>
            </w:tcMar>
          </w:tcPr>
          <w:p w14:paraId="7102AEBA" w14:textId="77777777" w:rsidR="005C1281" w:rsidRDefault="00000000">
            <w:pPr>
              <w:widowControl w:val="0"/>
              <w:spacing w:line="240" w:lineRule="auto"/>
              <w:rPr>
                <w:sz w:val="24"/>
                <w:szCs w:val="24"/>
              </w:rPr>
            </w:pPr>
            <w:r>
              <w:rPr>
                <w:sz w:val="24"/>
                <w:szCs w:val="24"/>
              </w:rPr>
              <w:t>4.974 (0.023 SE)</w:t>
            </w:r>
          </w:p>
        </w:tc>
        <w:tc>
          <w:tcPr>
            <w:tcW w:w="2340" w:type="dxa"/>
            <w:shd w:val="clear" w:color="auto" w:fill="auto"/>
            <w:tcMar>
              <w:top w:w="100" w:type="dxa"/>
              <w:left w:w="100" w:type="dxa"/>
              <w:bottom w:w="100" w:type="dxa"/>
              <w:right w:w="100" w:type="dxa"/>
            </w:tcMar>
          </w:tcPr>
          <w:p w14:paraId="0EF619AC" w14:textId="77777777" w:rsidR="005C1281" w:rsidRDefault="00000000">
            <w:pPr>
              <w:widowControl w:val="0"/>
              <w:pBdr>
                <w:top w:val="nil"/>
                <w:left w:val="nil"/>
                <w:bottom w:val="nil"/>
                <w:right w:val="nil"/>
                <w:between w:val="nil"/>
              </w:pBdr>
              <w:spacing w:line="240" w:lineRule="auto"/>
              <w:rPr>
                <w:sz w:val="24"/>
                <w:szCs w:val="24"/>
              </w:rPr>
            </w:pPr>
            <w:r>
              <w:rPr>
                <w:sz w:val="24"/>
                <w:szCs w:val="24"/>
              </w:rPr>
              <w:t>4.937</w:t>
            </w:r>
          </w:p>
        </w:tc>
        <w:tc>
          <w:tcPr>
            <w:tcW w:w="2340" w:type="dxa"/>
            <w:shd w:val="clear" w:color="auto" w:fill="auto"/>
            <w:tcMar>
              <w:top w:w="100" w:type="dxa"/>
              <w:left w:w="100" w:type="dxa"/>
              <w:bottom w:w="100" w:type="dxa"/>
              <w:right w:w="100" w:type="dxa"/>
            </w:tcMar>
          </w:tcPr>
          <w:p w14:paraId="124397F4" w14:textId="77777777" w:rsidR="005C1281" w:rsidRDefault="00000000">
            <w:pPr>
              <w:widowControl w:val="0"/>
              <w:pBdr>
                <w:top w:val="nil"/>
                <w:left w:val="nil"/>
                <w:bottom w:val="nil"/>
                <w:right w:val="nil"/>
                <w:between w:val="nil"/>
              </w:pBdr>
              <w:spacing w:line="240" w:lineRule="auto"/>
              <w:rPr>
                <w:sz w:val="24"/>
                <w:szCs w:val="24"/>
              </w:rPr>
            </w:pPr>
            <w:r>
              <w:rPr>
                <w:sz w:val="24"/>
                <w:szCs w:val="24"/>
              </w:rPr>
              <w:t>4.921</w:t>
            </w:r>
          </w:p>
        </w:tc>
      </w:tr>
      <w:tr w:rsidR="005C1281" w14:paraId="581BF0CD" w14:textId="77777777">
        <w:tc>
          <w:tcPr>
            <w:tcW w:w="2475" w:type="dxa"/>
            <w:shd w:val="clear" w:color="auto" w:fill="auto"/>
            <w:tcMar>
              <w:top w:w="100" w:type="dxa"/>
              <w:left w:w="100" w:type="dxa"/>
              <w:bottom w:w="100" w:type="dxa"/>
              <w:right w:w="100" w:type="dxa"/>
            </w:tcMar>
          </w:tcPr>
          <w:p w14:paraId="35F70CE7" w14:textId="77777777" w:rsidR="005C1281" w:rsidRDefault="00000000">
            <w:pPr>
              <w:widowControl w:val="0"/>
              <w:pBdr>
                <w:top w:val="nil"/>
                <w:left w:val="nil"/>
                <w:bottom w:val="nil"/>
                <w:right w:val="nil"/>
                <w:between w:val="nil"/>
              </w:pBdr>
              <w:spacing w:line="240" w:lineRule="auto"/>
              <w:rPr>
                <w:sz w:val="24"/>
                <w:szCs w:val="24"/>
              </w:rPr>
            </w:pPr>
            <w:r>
              <w:rPr>
                <w:sz w:val="24"/>
                <w:szCs w:val="24"/>
              </w:rPr>
              <w:t>GNMA ARMs</w:t>
            </w:r>
          </w:p>
        </w:tc>
        <w:tc>
          <w:tcPr>
            <w:tcW w:w="2205" w:type="dxa"/>
            <w:shd w:val="clear" w:color="auto" w:fill="auto"/>
            <w:tcMar>
              <w:top w:w="100" w:type="dxa"/>
              <w:left w:w="100" w:type="dxa"/>
              <w:bottom w:w="100" w:type="dxa"/>
              <w:right w:w="100" w:type="dxa"/>
            </w:tcMar>
          </w:tcPr>
          <w:p w14:paraId="61B6CEBC" w14:textId="77777777" w:rsidR="005C1281" w:rsidRDefault="00000000">
            <w:pPr>
              <w:widowControl w:val="0"/>
              <w:pBdr>
                <w:top w:val="nil"/>
                <w:left w:val="nil"/>
                <w:bottom w:val="nil"/>
                <w:right w:val="nil"/>
                <w:between w:val="nil"/>
              </w:pBdr>
              <w:spacing w:line="240" w:lineRule="auto"/>
              <w:rPr>
                <w:sz w:val="24"/>
                <w:szCs w:val="24"/>
              </w:rPr>
            </w:pPr>
            <w:r>
              <w:rPr>
                <w:sz w:val="24"/>
                <w:szCs w:val="24"/>
              </w:rPr>
              <w:t>5.634 (0.026 SE)</w:t>
            </w:r>
          </w:p>
        </w:tc>
        <w:tc>
          <w:tcPr>
            <w:tcW w:w="2340" w:type="dxa"/>
            <w:shd w:val="clear" w:color="auto" w:fill="auto"/>
            <w:tcMar>
              <w:top w:w="100" w:type="dxa"/>
              <w:left w:w="100" w:type="dxa"/>
              <w:bottom w:w="100" w:type="dxa"/>
              <w:right w:w="100" w:type="dxa"/>
            </w:tcMar>
          </w:tcPr>
          <w:p w14:paraId="3D25F3D0" w14:textId="77777777" w:rsidR="005C1281" w:rsidRDefault="00000000">
            <w:pPr>
              <w:widowControl w:val="0"/>
              <w:pBdr>
                <w:top w:val="nil"/>
                <w:left w:val="nil"/>
                <w:bottom w:val="nil"/>
                <w:right w:val="nil"/>
                <w:between w:val="nil"/>
              </w:pBdr>
              <w:spacing w:line="240" w:lineRule="auto"/>
              <w:rPr>
                <w:sz w:val="24"/>
                <w:szCs w:val="24"/>
              </w:rPr>
            </w:pPr>
            <w:r>
              <w:rPr>
                <w:sz w:val="24"/>
                <w:szCs w:val="24"/>
              </w:rPr>
              <w:t xml:space="preserve">5.592 </w:t>
            </w:r>
          </w:p>
        </w:tc>
        <w:tc>
          <w:tcPr>
            <w:tcW w:w="2340" w:type="dxa"/>
            <w:shd w:val="clear" w:color="auto" w:fill="auto"/>
            <w:tcMar>
              <w:top w:w="100" w:type="dxa"/>
              <w:left w:w="100" w:type="dxa"/>
              <w:bottom w:w="100" w:type="dxa"/>
              <w:right w:w="100" w:type="dxa"/>
            </w:tcMar>
          </w:tcPr>
          <w:p w14:paraId="74075384" w14:textId="77777777" w:rsidR="005C1281" w:rsidRDefault="00000000">
            <w:pPr>
              <w:widowControl w:val="0"/>
              <w:pBdr>
                <w:top w:val="nil"/>
                <w:left w:val="nil"/>
                <w:bottom w:val="nil"/>
                <w:right w:val="nil"/>
                <w:between w:val="nil"/>
              </w:pBdr>
              <w:spacing w:line="240" w:lineRule="auto"/>
              <w:rPr>
                <w:sz w:val="24"/>
                <w:szCs w:val="24"/>
              </w:rPr>
            </w:pPr>
            <w:r>
              <w:rPr>
                <w:sz w:val="24"/>
                <w:szCs w:val="24"/>
              </w:rPr>
              <w:t>5.574</w:t>
            </w:r>
          </w:p>
        </w:tc>
      </w:tr>
    </w:tbl>
    <w:p w14:paraId="42F1E06F" w14:textId="77777777" w:rsidR="005C1281" w:rsidRDefault="00000000">
      <w:pPr>
        <w:spacing w:line="480" w:lineRule="auto"/>
        <w:rPr>
          <w:sz w:val="24"/>
          <w:szCs w:val="24"/>
        </w:rPr>
      </w:pPr>
      <w:r>
        <w:rPr>
          <w:sz w:val="24"/>
          <w:szCs w:val="24"/>
        </w:rPr>
        <w:tab/>
      </w:r>
    </w:p>
    <w:p w14:paraId="543BD4BF" w14:textId="77777777" w:rsidR="005C1281" w:rsidRDefault="00000000">
      <w:pPr>
        <w:spacing w:line="480" w:lineRule="auto"/>
        <w:ind w:firstLine="720"/>
        <w:rPr>
          <w:sz w:val="24"/>
          <w:szCs w:val="24"/>
        </w:rPr>
      </w:pPr>
      <w:r>
        <w:rPr>
          <w:sz w:val="24"/>
          <w:szCs w:val="24"/>
        </w:rPr>
        <w:t xml:space="preserve">In the 5% and 1% worst case scenarios, rolling Eurodollar and entering the standard GNMA ARMs swap still result in a positive </w:t>
      </w:r>
      <w:proofErr w:type="spellStart"/>
      <w:r>
        <w:rPr>
          <w:sz w:val="24"/>
          <w:szCs w:val="24"/>
        </w:rPr>
        <w:t>PnL</w:t>
      </w:r>
      <w:proofErr w:type="spellEnd"/>
      <w:r>
        <w:rPr>
          <w:sz w:val="24"/>
          <w:szCs w:val="24"/>
        </w:rPr>
        <w:t xml:space="preserve">, but engaging in a GNMA </w:t>
      </w:r>
      <w:r>
        <w:rPr>
          <w:sz w:val="24"/>
          <w:szCs w:val="24"/>
        </w:rPr>
        <w:lastRenderedPageBreak/>
        <w:t>ARMs with us results in a better return thanks to the 5bps premium offered. The PV distribution for the client under GNMA ARMs is:</w:t>
      </w:r>
    </w:p>
    <w:p w14:paraId="165D75BC" w14:textId="77777777" w:rsidR="005C1281" w:rsidRDefault="00000000">
      <w:pPr>
        <w:spacing w:line="480" w:lineRule="auto"/>
        <w:jc w:val="center"/>
        <w:rPr>
          <w:sz w:val="24"/>
          <w:szCs w:val="24"/>
        </w:rPr>
      </w:pPr>
      <w:r>
        <w:rPr>
          <w:noProof/>
          <w:sz w:val="24"/>
          <w:szCs w:val="24"/>
        </w:rPr>
        <w:drawing>
          <wp:inline distT="114300" distB="114300" distL="114300" distR="114300" wp14:anchorId="406D2E9F" wp14:editId="37A250CB">
            <wp:extent cx="3338513" cy="241307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338513" cy="2413070"/>
                    </a:xfrm>
                    <a:prstGeom prst="rect">
                      <a:avLst/>
                    </a:prstGeom>
                    <a:ln/>
                  </pic:spPr>
                </pic:pic>
              </a:graphicData>
            </a:graphic>
          </wp:inline>
        </w:drawing>
      </w:r>
    </w:p>
    <w:p w14:paraId="1A7A78AD" w14:textId="77777777" w:rsidR="005C1281" w:rsidRDefault="00000000">
      <w:pPr>
        <w:spacing w:line="480" w:lineRule="auto"/>
        <w:rPr>
          <w:b/>
          <w:i/>
          <w:sz w:val="24"/>
          <w:szCs w:val="24"/>
          <w:u w:val="single"/>
        </w:rPr>
      </w:pPr>
      <w:r>
        <w:rPr>
          <w:b/>
          <w:i/>
          <w:sz w:val="24"/>
          <w:szCs w:val="24"/>
          <w:u w:val="single"/>
        </w:rPr>
        <w:t>WD Risk Concerns</w:t>
      </w:r>
    </w:p>
    <w:p w14:paraId="67745458" w14:textId="77777777" w:rsidR="005C1281" w:rsidRDefault="00000000">
      <w:pPr>
        <w:spacing w:line="480" w:lineRule="auto"/>
        <w:rPr>
          <w:sz w:val="24"/>
          <w:szCs w:val="24"/>
        </w:rPr>
      </w:pPr>
      <w:r>
        <w:rPr>
          <w:sz w:val="24"/>
          <w:szCs w:val="24"/>
          <w:u w:val="single"/>
        </w:rPr>
        <w:tab/>
      </w:r>
      <w:r>
        <w:rPr>
          <w:sz w:val="24"/>
          <w:szCs w:val="24"/>
        </w:rPr>
        <w:t xml:space="preserve">Since we are taking over all the payments from CBC and paying them LIBOR + 6bps, we are exposed to 2 major risks: (1) LIBOR risk and (2) interest rate cap risk. LIBOR can shoot up during the first 3 years and we will have to pay them more than we want, and interest rate could shoot up, which generally would be beneficial for us because of less prepayment and a higher interest payment, but the GNMA rate is capped at the periodic and lifetime cap. The unhedged distribution of our </w:t>
      </w:r>
      <w:proofErr w:type="spellStart"/>
      <w:r>
        <w:rPr>
          <w:sz w:val="24"/>
          <w:szCs w:val="24"/>
        </w:rPr>
        <w:t>PnL</w:t>
      </w:r>
      <w:proofErr w:type="spellEnd"/>
      <w:r>
        <w:rPr>
          <w:sz w:val="24"/>
          <w:szCs w:val="24"/>
        </w:rPr>
        <w:t xml:space="preserve"> is:</w:t>
      </w:r>
    </w:p>
    <w:p w14:paraId="74D4A974" w14:textId="77777777" w:rsidR="005C1281" w:rsidRDefault="00000000">
      <w:pPr>
        <w:spacing w:line="480" w:lineRule="auto"/>
        <w:jc w:val="center"/>
        <w:rPr>
          <w:sz w:val="24"/>
          <w:szCs w:val="24"/>
        </w:rPr>
      </w:pPr>
      <w:r>
        <w:rPr>
          <w:noProof/>
          <w:sz w:val="24"/>
          <w:szCs w:val="24"/>
        </w:rPr>
        <w:lastRenderedPageBreak/>
        <w:drawing>
          <wp:inline distT="114300" distB="114300" distL="114300" distR="114300" wp14:anchorId="69025D13" wp14:editId="1AB9A03C">
            <wp:extent cx="3676650" cy="26574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676650" cy="2657475"/>
                    </a:xfrm>
                    <a:prstGeom prst="rect">
                      <a:avLst/>
                    </a:prstGeom>
                    <a:ln/>
                  </pic:spPr>
                </pic:pic>
              </a:graphicData>
            </a:graphic>
          </wp:inline>
        </w:drawing>
      </w:r>
    </w:p>
    <w:p w14:paraId="1D75C027" w14:textId="77777777" w:rsidR="005C1281" w:rsidRDefault="00000000">
      <w:pPr>
        <w:spacing w:line="480" w:lineRule="auto"/>
        <w:rPr>
          <w:sz w:val="24"/>
          <w:szCs w:val="24"/>
        </w:rPr>
      </w:pPr>
      <w:r>
        <w:rPr>
          <w:sz w:val="24"/>
          <w:szCs w:val="24"/>
        </w:rPr>
        <w:tab/>
        <w:t xml:space="preserve">The distribution is very favorable for us, as most of it is positive. However, for the bad scenarios, the loss is significant. The mean, 95% </w:t>
      </w:r>
      <w:proofErr w:type="spellStart"/>
      <w:r>
        <w:rPr>
          <w:sz w:val="24"/>
          <w:szCs w:val="24"/>
        </w:rPr>
        <w:t>VaR</w:t>
      </w:r>
      <w:proofErr w:type="spellEnd"/>
      <w:r>
        <w:rPr>
          <w:sz w:val="24"/>
          <w:szCs w:val="24"/>
        </w:rPr>
        <w:t xml:space="preserve">, and 99% </w:t>
      </w:r>
      <w:proofErr w:type="spellStart"/>
      <w:r>
        <w:rPr>
          <w:sz w:val="24"/>
          <w:szCs w:val="24"/>
        </w:rPr>
        <w:t>VaR</w:t>
      </w:r>
      <w:proofErr w:type="spellEnd"/>
      <w:r>
        <w:rPr>
          <w:sz w:val="24"/>
          <w:szCs w:val="24"/>
        </w:rPr>
        <w:t xml:space="preserve"> are: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205"/>
        <w:gridCol w:w="2340"/>
        <w:gridCol w:w="2340"/>
      </w:tblGrid>
      <w:tr w:rsidR="005C1281" w14:paraId="57E1E1D3" w14:textId="77777777">
        <w:tc>
          <w:tcPr>
            <w:tcW w:w="2475" w:type="dxa"/>
            <w:shd w:val="clear" w:color="auto" w:fill="auto"/>
            <w:tcMar>
              <w:top w:w="100" w:type="dxa"/>
              <w:left w:w="100" w:type="dxa"/>
              <w:bottom w:w="100" w:type="dxa"/>
              <w:right w:w="100" w:type="dxa"/>
            </w:tcMar>
          </w:tcPr>
          <w:p w14:paraId="49595921" w14:textId="77777777" w:rsidR="005C1281" w:rsidRDefault="00000000">
            <w:pPr>
              <w:widowControl w:val="0"/>
              <w:spacing w:line="240" w:lineRule="auto"/>
              <w:rPr>
                <w:sz w:val="24"/>
                <w:szCs w:val="24"/>
              </w:rPr>
            </w:pPr>
            <w:r>
              <w:rPr>
                <w:sz w:val="24"/>
                <w:szCs w:val="24"/>
              </w:rPr>
              <w:t xml:space="preserve">Unhedged WD </w:t>
            </w:r>
            <w:proofErr w:type="spellStart"/>
            <w:r>
              <w:rPr>
                <w:sz w:val="24"/>
                <w:szCs w:val="24"/>
              </w:rPr>
              <w:t>PnL</w:t>
            </w:r>
            <w:proofErr w:type="spellEnd"/>
          </w:p>
        </w:tc>
        <w:tc>
          <w:tcPr>
            <w:tcW w:w="2205" w:type="dxa"/>
            <w:shd w:val="clear" w:color="auto" w:fill="auto"/>
            <w:tcMar>
              <w:top w:w="100" w:type="dxa"/>
              <w:left w:w="100" w:type="dxa"/>
              <w:bottom w:w="100" w:type="dxa"/>
              <w:right w:w="100" w:type="dxa"/>
            </w:tcMar>
          </w:tcPr>
          <w:p w14:paraId="03BD3357" w14:textId="77777777" w:rsidR="005C1281" w:rsidRDefault="00000000">
            <w:pPr>
              <w:widowControl w:val="0"/>
              <w:spacing w:line="240" w:lineRule="auto"/>
              <w:rPr>
                <w:sz w:val="24"/>
                <w:szCs w:val="24"/>
              </w:rPr>
            </w:pPr>
            <w:r>
              <w:rPr>
                <w:sz w:val="24"/>
                <w:szCs w:val="24"/>
              </w:rPr>
              <w:t>Mean</w:t>
            </w:r>
          </w:p>
        </w:tc>
        <w:tc>
          <w:tcPr>
            <w:tcW w:w="2340" w:type="dxa"/>
            <w:shd w:val="clear" w:color="auto" w:fill="auto"/>
            <w:tcMar>
              <w:top w:w="100" w:type="dxa"/>
              <w:left w:w="100" w:type="dxa"/>
              <w:bottom w:w="100" w:type="dxa"/>
              <w:right w:w="100" w:type="dxa"/>
            </w:tcMar>
          </w:tcPr>
          <w:p w14:paraId="0C6736BF" w14:textId="77777777" w:rsidR="005C1281" w:rsidRDefault="00000000">
            <w:pPr>
              <w:widowControl w:val="0"/>
              <w:spacing w:line="240" w:lineRule="auto"/>
              <w:rPr>
                <w:sz w:val="24"/>
                <w:szCs w:val="24"/>
              </w:rPr>
            </w:pPr>
            <w:r>
              <w:rPr>
                <w:sz w:val="24"/>
                <w:szCs w:val="24"/>
              </w:rPr>
              <w:t xml:space="preserve">95% </w:t>
            </w:r>
            <w:proofErr w:type="spellStart"/>
            <w:r>
              <w:rPr>
                <w:sz w:val="24"/>
                <w:szCs w:val="24"/>
              </w:rPr>
              <w:t>VaR</w:t>
            </w:r>
            <w:proofErr w:type="spellEnd"/>
          </w:p>
        </w:tc>
        <w:tc>
          <w:tcPr>
            <w:tcW w:w="2340" w:type="dxa"/>
            <w:shd w:val="clear" w:color="auto" w:fill="auto"/>
            <w:tcMar>
              <w:top w:w="100" w:type="dxa"/>
              <w:left w:w="100" w:type="dxa"/>
              <w:bottom w:w="100" w:type="dxa"/>
              <w:right w:w="100" w:type="dxa"/>
            </w:tcMar>
          </w:tcPr>
          <w:p w14:paraId="6EAC0251" w14:textId="77777777" w:rsidR="005C1281" w:rsidRDefault="00000000">
            <w:pPr>
              <w:widowControl w:val="0"/>
              <w:spacing w:line="240" w:lineRule="auto"/>
              <w:rPr>
                <w:sz w:val="24"/>
                <w:szCs w:val="24"/>
              </w:rPr>
            </w:pPr>
            <w:r>
              <w:rPr>
                <w:sz w:val="24"/>
                <w:szCs w:val="24"/>
              </w:rPr>
              <w:t xml:space="preserve">99% </w:t>
            </w:r>
            <w:proofErr w:type="spellStart"/>
            <w:r>
              <w:rPr>
                <w:sz w:val="24"/>
                <w:szCs w:val="24"/>
              </w:rPr>
              <w:t>VaR</w:t>
            </w:r>
            <w:proofErr w:type="spellEnd"/>
          </w:p>
        </w:tc>
      </w:tr>
      <w:tr w:rsidR="005C1281" w14:paraId="79A5D92F" w14:textId="77777777">
        <w:tc>
          <w:tcPr>
            <w:tcW w:w="2475" w:type="dxa"/>
            <w:shd w:val="clear" w:color="auto" w:fill="auto"/>
            <w:tcMar>
              <w:top w:w="100" w:type="dxa"/>
              <w:left w:w="100" w:type="dxa"/>
              <w:bottom w:w="100" w:type="dxa"/>
              <w:right w:w="100" w:type="dxa"/>
            </w:tcMar>
          </w:tcPr>
          <w:p w14:paraId="0FA133FF" w14:textId="77777777" w:rsidR="005C1281" w:rsidRDefault="00000000">
            <w:pPr>
              <w:widowControl w:val="0"/>
              <w:spacing w:line="240" w:lineRule="auto"/>
              <w:rPr>
                <w:sz w:val="24"/>
                <w:szCs w:val="24"/>
              </w:rPr>
            </w:pPr>
            <w:r>
              <w:rPr>
                <w:sz w:val="24"/>
                <w:szCs w:val="24"/>
              </w:rPr>
              <w:t>Value ($ mil)</w:t>
            </w:r>
          </w:p>
        </w:tc>
        <w:tc>
          <w:tcPr>
            <w:tcW w:w="2205" w:type="dxa"/>
            <w:shd w:val="clear" w:color="auto" w:fill="auto"/>
            <w:tcMar>
              <w:top w:w="100" w:type="dxa"/>
              <w:left w:w="100" w:type="dxa"/>
              <w:bottom w:w="100" w:type="dxa"/>
              <w:right w:w="100" w:type="dxa"/>
            </w:tcMar>
          </w:tcPr>
          <w:p w14:paraId="36547708" w14:textId="77777777" w:rsidR="005C1281" w:rsidRDefault="00000000">
            <w:pPr>
              <w:widowControl w:val="0"/>
              <w:spacing w:line="240" w:lineRule="auto"/>
              <w:rPr>
                <w:sz w:val="24"/>
                <w:szCs w:val="24"/>
              </w:rPr>
            </w:pPr>
            <w:r>
              <w:rPr>
                <w:sz w:val="24"/>
                <w:szCs w:val="24"/>
              </w:rPr>
              <w:t>3.713 (2.528 SE)</w:t>
            </w:r>
          </w:p>
        </w:tc>
        <w:tc>
          <w:tcPr>
            <w:tcW w:w="2340" w:type="dxa"/>
            <w:shd w:val="clear" w:color="auto" w:fill="auto"/>
            <w:tcMar>
              <w:top w:w="100" w:type="dxa"/>
              <w:left w:w="100" w:type="dxa"/>
              <w:bottom w:w="100" w:type="dxa"/>
              <w:right w:w="100" w:type="dxa"/>
            </w:tcMar>
          </w:tcPr>
          <w:p w14:paraId="61674CFD" w14:textId="77777777" w:rsidR="005C1281" w:rsidRDefault="00000000">
            <w:pPr>
              <w:widowControl w:val="0"/>
              <w:spacing w:line="240" w:lineRule="auto"/>
              <w:rPr>
                <w:sz w:val="24"/>
                <w:szCs w:val="24"/>
              </w:rPr>
            </w:pPr>
            <w:r>
              <w:rPr>
                <w:sz w:val="24"/>
                <w:szCs w:val="24"/>
              </w:rPr>
              <w:t>1.465</w:t>
            </w:r>
          </w:p>
        </w:tc>
        <w:tc>
          <w:tcPr>
            <w:tcW w:w="2340" w:type="dxa"/>
            <w:shd w:val="clear" w:color="auto" w:fill="auto"/>
            <w:tcMar>
              <w:top w:w="100" w:type="dxa"/>
              <w:left w:w="100" w:type="dxa"/>
              <w:bottom w:w="100" w:type="dxa"/>
              <w:right w:w="100" w:type="dxa"/>
            </w:tcMar>
          </w:tcPr>
          <w:p w14:paraId="53017301" w14:textId="77777777" w:rsidR="005C1281" w:rsidRDefault="00000000">
            <w:pPr>
              <w:widowControl w:val="0"/>
              <w:spacing w:line="240" w:lineRule="auto"/>
              <w:rPr>
                <w:sz w:val="24"/>
                <w:szCs w:val="24"/>
              </w:rPr>
            </w:pPr>
            <w:r>
              <w:rPr>
                <w:sz w:val="24"/>
                <w:szCs w:val="24"/>
              </w:rPr>
              <w:t>-5.703</w:t>
            </w:r>
          </w:p>
        </w:tc>
      </w:tr>
    </w:tbl>
    <w:p w14:paraId="6A89C886" w14:textId="77777777" w:rsidR="005C1281" w:rsidRDefault="005C1281">
      <w:pPr>
        <w:spacing w:line="480" w:lineRule="auto"/>
        <w:rPr>
          <w:sz w:val="24"/>
          <w:szCs w:val="24"/>
        </w:rPr>
      </w:pPr>
    </w:p>
    <w:p w14:paraId="42DE9E9C" w14:textId="77777777" w:rsidR="005C1281" w:rsidRDefault="00000000">
      <w:pPr>
        <w:spacing w:line="480" w:lineRule="auto"/>
        <w:rPr>
          <w:sz w:val="24"/>
          <w:szCs w:val="24"/>
        </w:rPr>
      </w:pPr>
      <w:r>
        <w:rPr>
          <w:sz w:val="24"/>
          <w:szCs w:val="24"/>
        </w:rPr>
        <w:tab/>
        <w:t xml:space="preserve">The standard error is high due to the discretization of prepayment rate, whose probability derives from the interest rate paths. As a result, the 99% </w:t>
      </w:r>
      <w:proofErr w:type="spellStart"/>
      <w:r>
        <w:rPr>
          <w:sz w:val="24"/>
          <w:szCs w:val="24"/>
        </w:rPr>
        <w:t>VaR</w:t>
      </w:r>
      <w:proofErr w:type="spellEnd"/>
      <w:r>
        <w:rPr>
          <w:sz w:val="24"/>
          <w:szCs w:val="24"/>
        </w:rPr>
        <w:t xml:space="preserve"> is significant, which calls for necessary hedging.</w:t>
      </w:r>
    </w:p>
    <w:p w14:paraId="7177B005" w14:textId="77777777" w:rsidR="005C1281" w:rsidRDefault="00000000">
      <w:pPr>
        <w:spacing w:line="480" w:lineRule="auto"/>
        <w:rPr>
          <w:b/>
          <w:i/>
          <w:sz w:val="24"/>
          <w:szCs w:val="24"/>
          <w:u w:val="single"/>
        </w:rPr>
      </w:pPr>
      <w:r>
        <w:rPr>
          <w:b/>
          <w:i/>
          <w:sz w:val="24"/>
          <w:szCs w:val="24"/>
          <w:u w:val="single"/>
        </w:rPr>
        <w:t>Hedging Strategies</w:t>
      </w:r>
    </w:p>
    <w:p w14:paraId="17A8987E" w14:textId="77777777" w:rsidR="005C1281" w:rsidRDefault="00000000">
      <w:pPr>
        <w:spacing w:line="480" w:lineRule="auto"/>
        <w:rPr>
          <w:sz w:val="24"/>
          <w:szCs w:val="24"/>
        </w:rPr>
      </w:pPr>
      <w:r>
        <w:rPr>
          <w:sz w:val="24"/>
          <w:szCs w:val="24"/>
          <w:u w:val="single"/>
        </w:rPr>
        <w:tab/>
      </w:r>
      <w:r>
        <w:rPr>
          <w:sz w:val="24"/>
          <w:szCs w:val="24"/>
        </w:rPr>
        <w:t>We need to hedge (1) LIBOR risk and (2) Interest rate cap risk.</w:t>
      </w:r>
    </w:p>
    <w:p w14:paraId="39EEEA2C" w14:textId="77777777" w:rsidR="005C1281" w:rsidRDefault="00000000">
      <w:pPr>
        <w:numPr>
          <w:ilvl w:val="0"/>
          <w:numId w:val="1"/>
        </w:numPr>
        <w:spacing w:line="480" w:lineRule="auto"/>
        <w:rPr>
          <w:sz w:val="24"/>
          <w:szCs w:val="24"/>
        </w:rPr>
      </w:pPr>
      <w:r>
        <w:rPr>
          <w:sz w:val="24"/>
          <w:szCs w:val="24"/>
          <w:u w:val="single"/>
        </w:rPr>
        <w:t>LIBOR risk</w:t>
      </w:r>
      <w:r>
        <w:rPr>
          <w:sz w:val="24"/>
          <w:szCs w:val="24"/>
        </w:rPr>
        <w:t xml:space="preserve">: To hedge </w:t>
      </w:r>
      <w:proofErr w:type="spellStart"/>
      <w:r>
        <w:rPr>
          <w:sz w:val="24"/>
          <w:szCs w:val="24"/>
        </w:rPr>
        <w:t>libor</w:t>
      </w:r>
      <w:proofErr w:type="spellEnd"/>
      <w:r>
        <w:rPr>
          <w:sz w:val="24"/>
          <w:szCs w:val="24"/>
        </w:rPr>
        <w:t xml:space="preserve"> risk, we will engage in 2 swaps with 2 different market makers. In the first swap, we receive </w:t>
      </w:r>
      <w:r>
        <w:rPr>
          <w:b/>
          <w:sz w:val="24"/>
          <w:szCs w:val="24"/>
        </w:rPr>
        <w:t>LIBOR + 5bps</w:t>
      </w:r>
      <w:r>
        <w:rPr>
          <w:sz w:val="24"/>
          <w:szCs w:val="24"/>
        </w:rPr>
        <w:t xml:space="preserve"> and pay a fair fixed rate of </w:t>
      </w:r>
      <w:r>
        <w:rPr>
          <w:b/>
          <w:sz w:val="24"/>
          <w:szCs w:val="24"/>
        </w:rPr>
        <w:t>0.0414</w:t>
      </w:r>
      <w:r>
        <w:rPr>
          <w:sz w:val="24"/>
          <w:szCs w:val="24"/>
        </w:rPr>
        <w:t xml:space="preserve">. In the second swap, we receive a fair fixed rate of </w:t>
      </w:r>
      <w:r>
        <w:rPr>
          <w:b/>
          <w:sz w:val="24"/>
          <w:szCs w:val="24"/>
        </w:rPr>
        <w:t xml:space="preserve">0.0325 </w:t>
      </w:r>
      <w:r>
        <w:rPr>
          <w:sz w:val="24"/>
          <w:szCs w:val="24"/>
        </w:rPr>
        <w:t xml:space="preserve">and pay </w:t>
      </w:r>
      <w:r>
        <w:rPr>
          <w:b/>
          <w:sz w:val="24"/>
          <w:szCs w:val="24"/>
        </w:rPr>
        <w:t>CMT</w:t>
      </w:r>
      <w:r>
        <w:rPr>
          <w:sz w:val="24"/>
          <w:szCs w:val="24"/>
        </w:rPr>
        <w:t xml:space="preserve">. Under this hedge, we turn our exposure from LIBOR to CMT. The fair fixed rate in both swaps </w:t>
      </w:r>
      <w:proofErr w:type="gramStart"/>
      <w:r>
        <w:rPr>
          <w:sz w:val="24"/>
          <w:szCs w:val="24"/>
        </w:rPr>
        <w:t>are</w:t>
      </w:r>
      <w:proofErr w:type="gramEnd"/>
      <w:r>
        <w:rPr>
          <w:sz w:val="24"/>
          <w:szCs w:val="24"/>
        </w:rPr>
        <w:t xml:space="preserve"> calculated by minimizing the absolute difference between the payments of the 2 legs to make the PV of the cash flows neutral in year 0.</w:t>
      </w:r>
    </w:p>
    <w:p w14:paraId="1D9A7001" w14:textId="77777777" w:rsidR="005C1281" w:rsidRDefault="00000000">
      <w:pPr>
        <w:numPr>
          <w:ilvl w:val="0"/>
          <w:numId w:val="1"/>
        </w:numPr>
        <w:spacing w:line="480" w:lineRule="auto"/>
        <w:rPr>
          <w:sz w:val="24"/>
          <w:szCs w:val="24"/>
        </w:rPr>
      </w:pPr>
      <w:r>
        <w:rPr>
          <w:sz w:val="24"/>
          <w:szCs w:val="24"/>
          <w:u w:val="single"/>
        </w:rPr>
        <w:lastRenderedPageBreak/>
        <w:t>Interest rate cap risk</w:t>
      </w:r>
      <w:r>
        <w:rPr>
          <w:sz w:val="24"/>
          <w:szCs w:val="24"/>
        </w:rPr>
        <w:t>: The first 3 years when we are still engaged in the swap with CBC are the most important years because of the cash outflows that we pay CBC. Moreover, prepayments in the early years are larger due to high remaining balance and thus are more sensitive to interest rates. It is important that we hedge the cap risk in year 2 and year 3. Year 1’s rate is fixed so it’s not necessary to hedge.</w:t>
      </w:r>
    </w:p>
    <w:p w14:paraId="48C79DEB" w14:textId="77777777" w:rsidR="005C1281" w:rsidRDefault="00000000">
      <w:pPr>
        <w:spacing w:line="480" w:lineRule="auto"/>
        <w:ind w:left="720"/>
        <w:rPr>
          <w:sz w:val="24"/>
          <w:szCs w:val="24"/>
        </w:rPr>
      </w:pPr>
      <w:r>
        <w:rPr>
          <w:sz w:val="24"/>
          <w:szCs w:val="24"/>
        </w:rPr>
        <w:t xml:space="preserve">We hedge this risk by buying interest rate caps at strike </w:t>
      </w:r>
      <w:r>
        <w:rPr>
          <w:b/>
          <w:sz w:val="24"/>
          <w:szCs w:val="24"/>
        </w:rPr>
        <w:t xml:space="preserve">0.0375 </w:t>
      </w:r>
      <w:r>
        <w:rPr>
          <w:sz w:val="24"/>
          <w:szCs w:val="24"/>
        </w:rPr>
        <w:t>for year 2 and 0.04 for year 3. We choose these strikes because they are 1 standard deviation above the mean rate for year 2 and year 3 respectively.</w:t>
      </w:r>
      <w:r>
        <w:rPr>
          <w:b/>
          <w:sz w:val="24"/>
          <w:szCs w:val="24"/>
        </w:rPr>
        <w:t xml:space="preserve"> </w:t>
      </w:r>
      <w:r>
        <w:rPr>
          <w:sz w:val="24"/>
          <w:szCs w:val="24"/>
        </w:rPr>
        <w:t xml:space="preserve">This way, we rarely miss out on any potential periodic gains. Adding the transaction cost of 1 basis point, the fair value for a $100 face cap expiring in year 2 is </w:t>
      </w:r>
      <w:r>
        <w:rPr>
          <w:b/>
          <w:sz w:val="24"/>
          <w:szCs w:val="24"/>
        </w:rPr>
        <w:t>$0.362</w:t>
      </w:r>
      <w:r>
        <w:rPr>
          <w:sz w:val="24"/>
          <w:szCs w:val="24"/>
        </w:rPr>
        <w:t xml:space="preserve">, and that in year 3 is </w:t>
      </w:r>
      <w:r>
        <w:rPr>
          <w:b/>
          <w:sz w:val="24"/>
          <w:szCs w:val="24"/>
        </w:rPr>
        <w:t>$0.568</w:t>
      </w:r>
      <w:r>
        <w:rPr>
          <w:sz w:val="24"/>
          <w:szCs w:val="24"/>
        </w:rPr>
        <w:t>. These are obtained by discounting the payoffs of the simulated paths. Most paths do not cross the strike, and thus the caps are cheap.</w:t>
      </w:r>
    </w:p>
    <w:p w14:paraId="2D022C1F" w14:textId="77777777" w:rsidR="005C1281" w:rsidRDefault="00000000">
      <w:pPr>
        <w:spacing w:line="480" w:lineRule="auto"/>
        <w:ind w:left="720"/>
        <w:rPr>
          <w:sz w:val="24"/>
          <w:szCs w:val="24"/>
        </w:rPr>
      </w:pPr>
      <w:r>
        <w:rPr>
          <w:sz w:val="24"/>
          <w:szCs w:val="24"/>
        </w:rPr>
        <w:t>We will buy $1 billion face of these caps. Since they are cheap and we have achieved our hedges, it is reasonable to expose ourselves to some upside potentials from the caps.</w:t>
      </w:r>
    </w:p>
    <w:p w14:paraId="47635C61" w14:textId="77777777" w:rsidR="005C1281" w:rsidRDefault="005C1281">
      <w:pPr>
        <w:spacing w:line="480" w:lineRule="auto"/>
        <w:rPr>
          <w:sz w:val="24"/>
          <w:szCs w:val="24"/>
        </w:rPr>
      </w:pPr>
    </w:p>
    <w:p w14:paraId="49DBDB24" w14:textId="77777777" w:rsidR="005C1281" w:rsidRDefault="00000000">
      <w:pPr>
        <w:spacing w:line="480" w:lineRule="auto"/>
        <w:ind w:firstLine="720"/>
        <w:rPr>
          <w:sz w:val="24"/>
          <w:szCs w:val="24"/>
        </w:rPr>
      </w:pPr>
      <w:r>
        <w:rPr>
          <w:sz w:val="24"/>
          <w:szCs w:val="24"/>
        </w:rPr>
        <w:t xml:space="preserve">The distribution is even more attractive now that it shrinks towards the mean: we give up some upside potential in the mean and the 95% </w:t>
      </w:r>
      <w:proofErr w:type="spellStart"/>
      <w:r>
        <w:rPr>
          <w:sz w:val="24"/>
          <w:szCs w:val="24"/>
        </w:rPr>
        <w:t>VaR</w:t>
      </w:r>
      <w:proofErr w:type="spellEnd"/>
      <w:r>
        <w:rPr>
          <w:sz w:val="24"/>
          <w:szCs w:val="24"/>
        </w:rPr>
        <w:t xml:space="preserve">, but the 99% </w:t>
      </w:r>
      <w:proofErr w:type="spellStart"/>
      <w:r>
        <w:rPr>
          <w:sz w:val="24"/>
          <w:szCs w:val="24"/>
        </w:rPr>
        <w:t>VaR</w:t>
      </w:r>
      <w:proofErr w:type="spellEnd"/>
      <w:r>
        <w:rPr>
          <w:sz w:val="24"/>
          <w:szCs w:val="24"/>
        </w:rPr>
        <w:t xml:space="preserve"> shrinks 5 times. The mean, 95% </w:t>
      </w:r>
      <w:proofErr w:type="spellStart"/>
      <w:r>
        <w:rPr>
          <w:sz w:val="24"/>
          <w:szCs w:val="24"/>
        </w:rPr>
        <w:t>VaR</w:t>
      </w:r>
      <w:proofErr w:type="spellEnd"/>
      <w:r>
        <w:rPr>
          <w:sz w:val="24"/>
          <w:szCs w:val="24"/>
        </w:rPr>
        <w:t xml:space="preserve">, and 99% </w:t>
      </w:r>
      <w:proofErr w:type="spellStart"/>
      <w:r>
        <w:rPr>
          <w:sz w:val="24"/>
          <w:szCs w:val="24"/>
        </w:rPr>
        <w:t>VaR</w:t>
      </w:r>
      <w:proofErr w:type="spellEnd"/>
      <w:r>
        <w:rPr>
          <w:sz w:val="24"/>
          <w:szCs w:val="24"/>
        </w:rPr>
        <w:t xml:space="preserve"> of our hedged </w:t>
      </w:r>
      <w:proofErr w:type="spellStart"/>
      <w:r>
        <w:rPr>
          <w:sz w:val="24"/>
          <w:szCs w:val="24"/>
        </w:rPr>
        <w:t>PnL</w:t>
      </w:r>
      <w:proofErr w:type="spellEnd"/>
      <w:r>
        <w:rPr>
          <w:sz w:val="24"/>
          <w:szCs w:val="24"/>
        </w:rPr>
        <w:t xml:space="preserve"> are:</w:t>
      </w:r>
    </w:p>
    <w:p w14:paraId="1272CF1E" w14:textId="77777777" w:rsidR="005C1281" w:rsidRDefault="005C1281">
      <w:pPr>
        <w:spacing w:line="480" w:lineRule="auto"/>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5"/>
        <w:gridCol w:w="2205"/>
        <w:gridCol w:w="2340"/>
        <w:gridCol w:w="2340"/>
      </w:tblGrid>
      <w:tr w:rsidR="005C1281" w14:paraId="67FB5A10" w14:textId="77777777">
        <w:tc>
          <w:tcPr>
            <w:tcW w:w="2475" w:type="dxa"/>
            <w:shd w:val="clear" w:color="auto" w:fill="auto"/>
            <w:tcMar>
              <w:top w:w="100" w:type="dxa"/>
              <w:left w:w="100" w:type="dxa"/>
              <w:bottom w:w="100" w:type="dxa"/>
              <w:right w:w="100" w:type="dxa"/>
            </w:tcMar>
          </w:tcPr>
          <w:p w14:paraId="59807FF9" w14:textId="77777777" w:rsidR="005C1281" w:rsidRDefault="00000000">
            <w:pPr>
              <w:widowControl w:val="0"/>
              <w:spacing w:line="240" w:lineRule="auto"/>
              <w:rPr>
                <w:sz w:val="24"/>
                <w:szCs w:val="24"/>
              </w:rPr>
            </w:pPr>
            <w:r>
              <w:rPr>
                <w:sz w:val="24"/>
                <w:szCs w:val="24"/>
              </w:rPr>
              <w:t xml:space="preserve">WD </w:t>
            </w:r>
            <w:proofErr w:type="spellStart"/>
            <w:r>
              <w:rPr>
                <w:sz w:val="24"/>
                <w:szCs w:val="24"/>
              </w:rPr>
              <w:t>PnL</w:t>
            </w:r>
            <w:proofErr w:type="spellEnd"/>
          </w:p>
        </w:tc>
        <w:tc>
          <w:tcPr>
            <w:tcW w:w="2205" w:type="dxa"/>
            <w:shd w:val="clear" w:color="auto" w:fill="auto"/>
            <w:tcMar>
              <w:top w:w="100" w:type="dxa"/>
              <w:left w:w="100" w:type="dxa"/>
              <w:bottom w:w="100" w:type="dxa"/>
              <w:right w:w="100" w:type="dxa"/>
            </w:tcMar>
          </w:tcPr>
          <w:p w14:paraId="31BA57A3" w14:textId="77777777" w:rsidR="005C1281" w:rsidRDefault="00000000">
            <w:pPr>
              <w:widowControl w:val="0"/>
              <w:spacing w:line="240" w:lineRule="auto"/>
              <w:rPr>
                <w:sz w:val="24"/>
                <w:szCs w:val="24"/>
              </w:rPr>
            </w:pPr>
            <w:r>
              <w:rPr>
                <w:sz w:val="24"/>
                <w:szCs w:val="24"/>
              </w:rPr>
              <w:t>Mean</w:t>
            </w:r>
          </w:p>
        </w:tc>
        <w:tc>
          <w:tcPr>
            <w:tcW w:w="2340" w:type="dxa"/>
            <w:shd w:val="clear" w:color="auto" w:fill="auto"/>
            <w:tcMar>
              <w:top w:w="100" w:type="dxa"/>
              <w:left w:w="100" w:type="dxa"/>
              <w:bottom w:w="100" w:type="dxa"/>
              <w:right w:w="100" w:type="dxa"/>
            </w:tcMar>
          </w:tcPr>
          <w:p w14:paraId="54C0DC6F" w14:textId="77777777" w:rsidR="005C1281" w:rsidRDefault="00000000">
            <w:pPr>
              <w:widowControl w:val="0"/>
              <w:spacing w:line="240" w:lineRule="auto"/>
              <w:rPr>
                <w:sz w:val="24"/>
                <w:szCs w:val="24"/>
              </w:rPr>
            </w:pPr>
            <w:r>
              <w:rPr>
                <w:sz w:val="24"/>
                <w:szCs w:val="24"/>
              </w:rPr>
              <w:t xml:space="preserve">95% </w:t>
            </w:r>
            <w:proofErr w:type="spellStart"/>
            <w:r>
              <w:rPr>
                <w:sz w:val="24"/>
                <w:szCs w:val="24"/>
              </w:rPr>
              <w:t>VaR</w:t>
            </w:r>
            <w:proofErr w:type="spellEnd"/>
          </w:p>
        </w:tc>
        <w:tc>
          <w:tcPr>
            <w:tcW w:w="2340" w:type="dxa"/>
            <w:shd w:val="clear" w:color="auto" w:fill="auto"/>
            <w:tcMar>
              <w:top w:w="100" w:type="dxa"/>
              <w:left w:w="100" w:type="dxa"/>
              <w:bottom w:w="100" w:type="dxa"/>
              <w:right w:w="100" w:type="dxa"/>
            </w:tcMar>
          </w:tcPr>
          <w:p w14:paraId="05D56E76" w14:textId="77777777" w:rsidR="005C1281" w:rsidRDefault="00000000">
            <w:pPr>
              <w:widowControl w:val="0"/>
              <w:spacing w:line="240" w:lineRule="auto"/>
              <w:rPr>
                <w:sz w:val="24"/>
                <w:szCs w:val="24"/>
              </w:rPr>
            </w:pPr>
            <w:r>
              <w:rPr>
                <w:sz w:val="24"/>
                <w:szCs w:val="24"/>
              </w:rPr>
              <w:t xml:space="preserve">99% </w:t>
            </w:r>
            <w:proofErr w:type="spellStart"/>
            <w:r>
              <w:rPr>
                <w:sz w:val="24"/>
                <w:szCs w:val="24"/>
              </w:rPr>
              <w:t>VaR</w:t>
            </w:r>
            <w:proofErr w:type="spellEnd"/>
          </w:p>
        </w:tc>
      </w:tr>
      <w:tr w:rsidR="005C1281" w14:paraId="1AED6179" w14:textId="77777777">
        <w:tc>
          <w:tcPr>
            <w:tcW w:w="2475" w:type="dxa"/>
            <w:shd w:val="clear" w:color="auto" w:fill="auto"/>
            <w:tcMar>
              <w:top w:w="100" w:type="dxa"/>
              <w:left w:w="100" w:type="dxa"/>
              <w:bottom w:w="100" w:type="dxa"/>
              <w:right w:w="100" w:type="dxa"/>
            </w:tcMar>
          </w:tcPr>
          <w:p w14:paraId="30BB16AB" w14:textId="77777777" w:rsidR="005C1281" w:rsidRDefault="00000000">
            <w:pPr>
              <w:widowControl w:val="0"/>
              <w:spacing w:line="240" w:lineRule="auto"/>
              <w:rPr>
                <w:sz w:val="24"/>
                <w:szCs w:val="24"/>
              </w:rPr>
            </w:pPr>
            <w:r>
              <w:rPr>
                <w:sz w:val="24"/>
                <w:szCs w:val="24"/>
              </w:rPr>
              <w:t>Value ($ mil)</w:t>
            </w:r>
          </w:p>
        </w:tc>
        <w:tc>
          <w:tcPr>
            <w:tcW w:w="2205" w:type="dxa"/>
            <w:shd w:val="clear" w:color="auto" w:fill="auto"/>
            <w:tcMar>
              <w:top w:w="100" w:type="dxa"/>
              <w:left w:w="100" w:type="dxa"/>
              <w:bottom w:w="100" w:type="dxa"/>
              <w:right w:w="100" w:type="dxa"/>
            </w:tcMar>
          </w:tcPr>
          <w:p w14:paraId="14616575" w14:textId="77777777" w:rsidR="005C1281" w:rsidRDefault="00000000">
            <w:pPr>
              <w:widowControl w:val="0"/>
              <w:spacing w:line="240" w:lineRule="auto"/>
              <w:rPr>
                <w:sz w:val="24"/>
                <w:szCs w:val="24"/>
              </w:rPr>
            </w:pPr>
            <w:r>
              <w:rPr>
                <w:sz w:val="24"/>
                <w:szCs w:val="24"/>
              </w:rPr>
              <w:t>3.700 (2.566 SE)</w:t>
            </w:r>
          </w:p>
        </w:tc>
        <w:tc>
          <w:tcPr>
            <w:tcW w:w="2340" w:type="dxa"/>
            <w:shd w:val="clear" w:color="auto" w:fill="auto"/>
            <w:tcMar>
              <w:top w:w="100" w:type="dxa"/>
              <w:left w:w="100" w:type="dxa"/>
              <w:bottom w:w="100" w:type="dxa"/>
              <w:right w:w="100" w:type="dxa"/>
            </w:tcMar>
          </w:tcPr>
          <w:p w14:paraId="777DE9FB" w14:textId="77777777" w:rsidR="005C1281" w:rsidRDefault="00000000">
            <w:pPr>
              <w:widowControl w:val="0"/>
              <w:spacing w:line="240" w:lineRule="auto"/>
              <w:rPr>
                <w:sz w:val="24"/>
                <w:szCs w:val="24"/>
              </w:rPr>
            </w:pPr>
            <w:r>
              <w:rPr>
                <w:sz w:val="24"/>
                <w:szCs w:val="24"/>
              </w:rPr>
              <w:t>1.444</w:t>
            </w:r>
          </w:p>
        </w:tc>
        <w:tc>
          <w:tcPr>
            <w:tcW w:w="2340" w:type="dxa"/>
            <w:shd w:val="clear" w:color="auto" w:fill="auto"/>
            <w:tcMar>
              <w:top w:w="100" w:type="dxa"/>
              <w:left w:w="100" w:type="dxa"/>
              <w:bottom w:w="100" w:type="dxa"/>
              <w:right w:w="100" w:type="dxa"/>
            </w:tcMar>
          </w:tcPr>
          <w:p w14:paraId="34863008" w14:textId="77777777" w:rsidR="005C1281" w:rsidRDefault="00000000">
            <w:pPr>
              <w:widowControl w:val="0"/>
              <w:spacing w:line="240" w:lineRule="auto"/>
              <w:rPr>
                <w:sz w:val="24"/>
                <w:szCs w:val="24"/>
              </w:rPr>
            </w:pPr>
            <w:r>
              <w:rPr>
                <w:sz w:val="24"/>
                <w:szCs w:val="24"/>
              </w:rPr>
              <w:t>-1.085</w:t>
            </w:r>
          </w:p>
        </w:tc>
      </w:tr>
    </w:tbl>
    <w:p w14:paraId="1FC12C23" w14:textId="77777777" w:rsidR="005C1281" w:rsidRDefault="005C1281">
      <w:pPr>
        <w:spacing w:line="480" w:lineRule="auto"/>
        <w:rPr>
          <w:sz w:val="24"/>
          <w:szCs w:val="24"/>
        </w:rPr>
      </w:pPr>
    </w:p>
    <w:p w14:paraId="50C6F1A3" w14:textId="77777777" w:rsidR="005C1281" w:rsidRDefault="00000000">
      <w:pPr>
        <w:spacing w:line="480" w:lineRule="auto"/>
        <w:rPr>
          <w:sz w:val="24"/>
          <w:szCs w:val="24"/>
        </w:rPr>
      </w:pPr>
      <w:r>
        <w:rPr>
          <w:sz w:val="24"/>
          <w:szCs w:val="24"/>
        </w:rPr>
        <w:lastRenderedPageBreak/>
        <w:tab/>
        <w:t xml:space="preserve">The distribution of our hedged </w:t>
      </w:r>
      <w:proofErr w:type="spellStart"/>
      <w:r>
        <w:rPr>
          <w:sz w:val="24"/>
          <w:szCs w:val="24"/>
        </w:rPr>
        <w:t>PnL</w:t>
      </w:r>
      <w:proofErr w:type="spellEnd"/>
      <w:r>
        <w:rPr>
          <w:sz w:val="24"/>
          <w:szCs w:val="24"/>
        </w:rPr>
        <w:t xml:space="preserve"> is:</w:t>
      </w:r>
    </w:p>
    <w:p w14:paraId="7B30D985" w14:textId="77777777" w:rsidR="005C1281" w:rsidRDefault="00000000">
      <w:pPr>
        <w:spacing w:line="480" w:lineRule="auto"/>
        <w:jc w:val="center"/>
        <w:rPr>
          <w:sz w:val="24"/>
          <w:szCs w:val="24"/>
        </w:rPr>
      </w:pPr>
      <w:r>
        <w:rPr>
          <w:noProof/>
          <w:sz w:val="24"/>
          <w:szCs w:val="24"/>
        </w:rPr>
        <w:drawing>
          <wp:inline distT="114300" distB="114300" distL="114300" distR="114300" wp14:anchorId="5E44DAB6" wp14:editId="12876BCF">
            <wp:extent cx="3676650" cy="26574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3676650" cy="2657475"/>
                    </a:xfrm>
                    <a:prstGeom prst="rect">
                      <a:avLst/>
                    </a:prstGeom>
                    <a:ln/>
                  </pic:spPr>
                </pic:pic>
              </a:graphicData>
            </a:graphic>
          </wp:inline>
        </w:drawing>
      </w:r>
    </w:p>
    <w:sectPr w:rsidR="005C12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71F93"/>
    <w:multiLevelType w:val="multilevel"/>
    <w:tmpl w:val="EF82E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85724D0"/>
    <w:multiLevelType w:val="multilevel"/>
    <w:tmpl w:val="D14AA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29152FB"/>
    <w:multiLevelType w:val="multilevel"/>
    <w:tmpl w:val="6D3C17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5D457BD8"/>
    <w:multiLevelType w:val="multilevel"/>
    <w:tmpl w:val="C32276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0EC01A4"/>
    <w:multiLevelType w:val="multilevel"/>
    <w:tmpl w:val="4F6EAB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40804992">
    <w:abstractNumId w:val="0"/>
  </w:num>
  <w:num w:numId="2" w16cid:durableId="956109275">
    <w:abstractNumId w:val="2"/>
  </w:num>
  <w:num w:numId="3" w16cid:durableId="200829194">
    <w:abstractNumId w:val="4"/>
  </w:num>
  <w:num w:numId="4" w16cid:durableId="2095202202">
    <w:abstractNumId w:val="1"/>
  </w:num>
  <w:num w:numId="5" w16cid:durableId="660936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1281"/>
    <w:rsid w:val="000574B3"/>
    <w:rsid w:val="005C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57B84"/>
  <w15:docId w15:val="{48F92281-3E0A-40DD-B082-0161E1453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1367</Words>
  <Characters>7798</Characters>
  <Application>Microsoft Office Word</Application>
  <DocSecurity>0</DocSecurity>
  <Lines>64</Lines>
  <Paragraphs>18</Paragraphs>
  <ScaleCrop>false</ScaleCrop>
  <Company/>
  <LinksUpToDate>false</LinksUpToDate>
  <CharactersWithSpaces>9147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Vinh To</cp:lastModifiedBy>
  <cp:revision>2</cp:revision>
  <dcterms:created xsi:type="dcterms:W3CDTF">2022-09-24T19:10:00Z</dcterms:created>
  <dcterms:modified xsi:type="dcterms:W3CDTF">2022-09-24T19:10:00Z</dcterms:modified>
</cp:coreProperties>
</file>