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6CFF1A"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1D577275" w:rsidR="00235153" w:rsidRDefault="00235153" w:rsidP="00235153">
      <w:pPr>
        <w:pStyle w:val="ListParagraph"/>
        <w:numPr>
          <w:ilvl w:val="0"/>
          <w:numId w:val="46"/>
        </w:numPr>
      </w:pPr>
      <w:r>
        <w:lastRenderedPageBreak/>
        <w:t>Chi phí quản lý</w:t>
      </w:r>
      <w:r w:rsidR="000E0EC5">
        <w:t xml:space="preserve">: 100 triệu </w:t>
      </w:r>
      <w:r w:rsidR="00330F45">
        <w:t>VND</w:t>
      </w:r>
    </w:p>
    <w:p w14:paraId="5949D3A0" w14:textId="524CAAB0" w:rsidR="00235153" w:rsidRPr="001C6695" w:rsidRDefault="00235153" w:rsidP="00235153">
      <w:pPr>
        <w:pStyle w:val="ListParagraph"/>
        <w:numPr>
          <w:ilvl w:val="0"/>
          <w:numId w:val="46"/>
        </w:numPr>
      </w:pPr>
      <w:r>
        <w:t>Chi phí hành chính</w:t>
      </w:r>
      <w:r w:rsidR="000E0EC5">
        <w:t xml:space="preserve">: 75 triệu </w:t>
      </w:r>
      <w:r w:rsidR="00330F45">
        <w:t>VND</w:t>
      </w:r>
    </w:p>
    <w:p w14:paraId="74C50CEF" w14:textId="31334B80" w:rsidR="001C6695" w:rsidRDefault="001C6695" w:rsidP="001C6695">
      <w:r w:rsidRPr="001C6695">
        <w:t>Chi phí kinh doanh, quảng cáo, tiếp thị</w:t>
      </w:r>
      <w:r w:rsidR="009F0BBC">
        <w:t xml:space="preserve">: 500 triệu </w:t>
      </w:r>
      <w:r w:rsidR="00330F45">
        <w:t>VND</w:t>
      </w:r>
    </w:p>
    <w:p w14:paraId="45FD65D8" w14:textId="75C793A2" w:rsidR="0035046A" w:rsidRDefault="0035046A" w:rsidP="0035046A">
      <w:pPr>
        <w:pStyle w:val="ListParagraph"/>
        <w:numPr>
          <w:ilvl w:val="0"/>
          <w:numId w:val="47"/>
        </w:numPr>
      </w:pPr>
      <w:r>
        <w:t>Chi phí kinh doanh</w:t>
      </w:r>
      <w:r w:rsidR="00330F45">
        <w:t>: 250 triệu VND</w:t>
      </w:r>
    </w:p>
    <w:p w14:paraId="1E096CD5" w14:textId="255B43D9" w:rsidR="0035046A" w:rsidRDefault="0035046A" w:rsidP="0035046A">
      <w:pPr>
        <w:pStyle w:val="ListParagraph"/>
        <w:numPr>
          <w:ilvl w:val="0"/>
          <w:numId w:val="47"/>
        </w:numPr>
      </w:pPr>
      <w:r>
        <w:t>Chi phí quảng cáo</w:t>
      </w:r>
      <w:r w:rsidR="00330F45">
        <w:t xml:space="preserve">: 100 triệu </w:t>
      </w:r>
      <w:r w:rsidR="00330F45">
        <w:t>VND</w:t>
      </w:r>
    </w:p>
    <w:p w14:paraId="55DC1355" w14:textId="33ADC2FB" w:rsidR="0035046A" w:rsidRPr="001C6695" w:rsidRDefault="0035046A" w:rsidP="0035046A">
      <w:pPr>
        <w:pStyle w:val="ListParagraph"/>
        <w:numPr>
          <w:ilvl w:val="0"/>
          <w:numId w:val="47"/>
        </w:numPr>
      </w:pPr>
      <w:r>
        <w:t>Chi phí tiếp thị</w:t>
      </w:r>
      <w:r w:rsidR="00330F45">
        <w:t xml:space="preserve">: 150 triệu </w:t>
      </w:r>
      <w:r w:rsidR="00330F45">
        <w:t>VND</w:t>
      </w:r>
    </w:p>
    <w:p w14:paraId="246E06F2" w14:textId="0852AE22" w:rsidR="001C6695" w:rsidRPr="00866A22" w:rsidRDefault="001C6695" w:rsidP="001C6695"/>
    <w:p w14:paraId="578C2CD0" w14:textId="2114E611" w:rsidR="00D65A38" w:rsidRDefault="161F1C4C" w:rsidP="00D65A38">
      <w:pPr>
        <w:pStyle w:val="Heading1"/>
      </w:pPr>
      <w:bookmarkStart w:id="19" w:name="_Toc25660397"/>
      <w:r>
        <w:t>Ước lượng chất lượng</w:t>
      </w:r>
      <w:bookmarkEnd w:id="19"/>
    </w:p>
    <w:p w14:paraId="32007B6F" w14:textId="14FA88CD" w:rsidR="00D65A38" w:rsidRDefault="161F1C4C" w:rsidP="161F1C4C">
      <w:pPr>
        <w:rPr>
          <w:rFonts w:eastAsia="Tahoma" w:cs="Tahoma"/>
          <w:iCs/>
        </w:rPr>
      </w:pPr>
      <w:r w:rsidRPr="00D420E6">
        <w:rPr>
          <w:rFonts w:eastAsia="Tahoma" w:cs="Tahoma"/>
          <w:iCs/>
        </w:rPr>
        <w:t>Ước lượng số dòng code</w:t>
      </w:r>
    </w:p>
    <w:p w14:paraId="71AECF79" w14:textId="6AB60E61" w:rsidR="00D420E6" w:rsidRDefault="00D420E6" w:rsidP="00D420E6">
      <w:pPr>
        <w:pStyle w:val="ListParagraph"/>
        <w:numPr>
          <w:ilvl w:val="1"/>
          <w:numId w:val="44"/>
        </w:numPr>
      </w:pPr>
      <w:r>
        <w:t>Nhận diện và phân tích tình hình các đường ray</w:t>
      </w:r>
      <w:r>
        <w:t>: 300 dòng</w:t>
      </w:r>
    </w:p>
    <w:p w14:paraId="5A5A4AE5" w14:textId="3AE4306D" w:rsidR="00D420E6" w:rsidRDefault="00D420E6" w:rsidP="00D420E6">
      <w:pPr>
        <w:pStyle w:val="ListParagraph"/>
        <w:numPr>
          <w:ilvl w:val="1"/>
          <w:numId w:val="44"/>
        </w:numPr>
      </w:pPr>
      <w:r>
        <w:t xml:space="preserve">Sắp xếp các tuyến tàu tự động: </w:t>
      </w:r>
      <w:r>
        <w:t>4500 dòng</w:t>
      </w:r>
    </w:p>
    <w:p w14:paraId="54F8096F" w14:textId="05F565B2" w:rsidR="00D420E6" w:rsidRDefault="00D420E6" w:rsidP="00D420E6">
      <w:pPr>
        <w:pStyle w:val="ListParagraph"/>
        <w:numPr>
          <w:ilvl w:val="1"/>
          <w:numId w:val="44"/>
        </w:numPr>
      </w:pPr>
      <w:r>
        <w:t xml:space="preserve">Sắp xếp các tuyến tàu thủ công: </w:t>
      </w:r>
      <w:r>
        <w:t>4400 dòng</w:t>
      </w:r>
    </w:p>
    <w:p w14:paraId="4A8EC3C9" w14:textId="770259DA" w:rsidR="00D420E6" w:rsidRDefault="00D420E6" w:rsidP="00D420E6">
      <w:pPr>
        <w:pStyle w:val="ListParagraph"/>
        <w:numPr>
          <w:ilvl w:val="1"/>
          <w:numId w:val="44"/>
        </w:numPr>
      </w:pPr>
      <w:r>
        <w:t xml:space="preserve">Xây dựng giao diện người dùng: </w:t>
      </w:r>
      <w:r>
        <w:t>850 dòng</w:t>
      </w:r>
    </w:p>
    <w:p w14:paraId="6A5ECEC7" w14:textId="440086DB" w:rsidR="00D420E6" w:rsidRPr="00D420E6" w:rsidRDefault="00D420E6" w:rsidP="161F1C4C">
      <w:pPr>
        <w:pStyle w:val="ListParagraph"/>
        <w:numPr>
          <w:ilvl w:val="1"/>
          <w:numId w:val="44"/>
        </w:numPr>
      </w:pPr>
      <w:r>
        <w:t xml:space="preserve">Thống kê: </w:t>
      </w:r>
      <w:r>
        <w:t>1100 dòng</w:t>
      </w:r>
      <w:bookmarkStart w:id="20" w:name="_GoBack"/>
      <w:bookmarkEnd w:id="20"/>
    </w:p>
    <w:p w14:paraId="49FE857A" w14:textId="0A05FCF1" w:rsidR="00FF6F60" w:rsidRPr="00D420E6" w:rsidRDefault="161F1C4C" w:rsidP="161F1C4C">
      <w:pPr>
        <w:rPr>
          <w:rFonts w:eastAsia="Tahoma" w:cs="Tahoma"/>
          <w:iCs/>
        </w:rPr>
      </w:pPr>
      <w:r w:rsidRPr="00D420E6">
        <w:rPr>
          <w:rFonts w:eastAsia="Tahoma" w:cs="Tahoma"/>
          <w:iCs/>
        </w:rPr>
        <w:t xml:space="preserve">Ước lượng số testcase </w:t>
      </w:r>
    </w:p>
    <w:p w14:paraId="22C571DC" w14:textId="060DE2F2" w:rsidR="00AE641A" w:rsidRPr="00D420E6" w:rsidRDefault="00AE641A" w:rsidP="003D6029">
      <w:pPr>
        <w:rPr>
          <w:lang w:val="fr-FR"/>
        </w:rPr>
      </w:pPr>
      <w:r w:rsidRPr="00D420E6">
        <w:rPr>
          <w:lang w:val="fr-FR"/>
        </w:rPr>
        <w:t>Qui định số dòng comment trên mỗi K</w:t>
      </w:r>
      <w:r w:rsidR="009D5FF7" w:rsidRPr="00D420E6">
        <w:rPr>
          <w:lang w:val="fr-FR"/>
        </w:rPr>
        <w:t>l</w:t>
      </w:r>
      <w:r w:rsidRPr="00D420E6">
        <w:rPr>
          <w:lang w:val="fr-FR"/>
        </w:rPr>
        <w:t>oc</w:t>
      </w:r>
    </w:p>
    <w:p w14:paraId="2715EB7B" w14:textId="40CA726C" w:rsidR="009D5FF7" w:rsidRPr="00D420E6" w:rsidRDefault="009D5FF7" w:rsidP="003D6029">
      <w:pPr>
        <w:rPr>
          <w:lang w:val="fr-FR"/>
        </w:rPr>
      </w:pPr>
      <w:r w:rsidRPr="00D420E6">
        <w:rPr>
          <w:lang w:val="fr-FR"/>
        </w:rPr>
        <w:t>Qui định về số unit test, automation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CC80E" w14:textId="77777777" w:rsidR="00057159" w:rsidRDefault="00057159">
      <w:r>
        <w:separator/>
      </w:r>
    </w:p>
    <w:p w14:paraId="27B3B873" w14:textId="77777777" w:rsidR="00057159" w:rsidRDefault="00057159"/>
  </w:endnote>
  <w:endnote w:type="continuationSeparator" w:id="0">
    <w:p w14:paraId="0B6C22E1" w14:textId="77777777" w:rsidR="00057159" w:rsidRDefault="00057159">
      <w:r>
        <w:continuationSeparator/>
      </w:r>
    </w:p>
    <w:p w14:paraId="4E82DA1E" w14:textId="77777777" w:rsidR="00057159" w:rsidRDefault="00057159"/>
  </w:endnote>
  <w:endnote w:type="continuationNotice" w:id="1">
    <w:p w14:paraId="6BE1678D" w14:textId="77777777" w:rsidR="00057159" w:rsidRDefault="000571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A1D02FB"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83CAE">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8F58CFF"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83CAE">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83CAE">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A7098" w14:textId="77777777" w:rsidR="00057159" w:rsidRDefault="00057159">
      <w:r>
        <w:separator/>
      </w:r>
    </w:p>
    <w:p w14:paraId="5CEE2E4A" w14:textId="77777777" w:rsidR="00057159" w:rsidRDefault="00057159"/>
  </w:footnote>
  <w:footnote w:type="continuationSeparator" w:id="0">
    <w:p w14:paraId="245B5763" w14:textId="77777777" w:rsidR="00057159" w:rsidRDefault="00057159">
      <w:r>
        <w:continuationSeparator/>
      </w:r>
    </w:p>
    <w:p w14:paraId="5F342ACF" w14:textId="77777777" w:rsidR="00057159" w:rsidRDefault="00057159"/>
  </w:footnote>
  <w:footnote w:type="continuationNotice" w:id="1">
    <w:p w14:paraId="175CBF4E" w14:textId="77777777" w:rsidR="00057159" w:rsidRDefault="0005715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57159"/>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664D4"/>
    <w:rsid w:val="00271644"/>
    <w:rsid w:val="0027238F"/>
    <w:rsid w:val="0027418C"/>
    <w:rsid w:val="0027590A"/>
    <w:rsid w:val="00280184"/>
    <w:rsid w:val="002814C8"/>
    <w:rsid w:val="002817C3"/>
    <w:rsid w:val="00281828"/>
    <w:rsid w:val="00283AE8"/>
    <w:rsid w:val="00283CAE"/>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C3D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C444-3756-47AD-8A8C-7F4BC17C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18</cp:revision>
  <cp:lastPrinted>2008-03-13T11:02:00Z</cp:lastPrinted>
  <dcterms:created xsi:type="dcterms:W3CDTF">2019-12-14T18:50:00Z</dcterms:created>
  <dcterms:modified xsi:type="dcterms:W3CDTF">2019-12-14T19:01:00Z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