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B0DF" w14:textId="77777777" w:rsidR="00AA7B50" w:rsidRDefault="008E5F79" w:rsidP="008E5F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HỎI </w:t>
      </w:r>
      <w:r w:rsidR="00AA7B50">
        <w:rPr>
          <w:rFonts w:ascii="Times New Roman" w:hAnsi="Times New Roman" w:cs="Times New Roman"/>
          <w:b/>
          <w:bCs/>
          <w:sz w:val="24"/>
          <w:szCs w:val="24"/>
          <w:lang w:val="vi-VN"/>
        </w:rPr>
        <w:t>CỦNG CỐ</w:t>
      </w:r>
    </w:p>
    <w:p w14:paraId="0FC26670" w14:textId="5EF71A09" w:rsidR="008E5F79" w:rsidRPr="00AA7B50" w:rsidRDefault="00AA7B50" w:rsidP="008E5F79">
      <w:pPr>
        <w:spacing w:line="240" w:lineRule="auto"/>
        <w:jc w:val="center"/>
        <w:rPr>
          <w:rFonts w:ascii="Times New Roman" w:hAnsi="Times New Roman" w:cs="Times New Roman"/>
          <w:b/>
          <w:bCs/>
          <w:lang w:val="vi-VN"/>
        </w:rPr>
      </w:pPr>
      <w:r w:rsidRPr="00AA7B50">
        <w:rPr>
          <w:rFonts w:ascii="Times New Roman" w:hAnsi="Times New Roman" w:cs="Times New Roman"/>
          <w:b/>
          <w:bCs/>
          <w:lang w:val="vi-VN"/>
        </w:rPr>
        <w:t>THUYẾT TRÌNH</w:t>
      </w:r>
      <w:r w:rsidR="008E5F79" w:rsidRPr="00AA7B50">
        <w:rPr>
          <w:rFonts w:ascii="Times New Roman" w:hAnsi="Times New Roman" w:cs="Times New Roman"/>
          <w:b/>
          <w:bCs/>
          <w:lang w:val="vi-VN"/>
        </w:rPr>
        <w:t xml:space="preserve"> LỊCH SỬ ĐẢNG (Nhóm 1)</w:t>
      </w:r>
    </w:p>
    <w:p w14:paraId="2FE099E6" w14:textId="6079A951" w:rsidR="008E5F79" w:rsidRPr="008E5F79" w:rsidRDefault="008E5F79" w:rsidP="008E5F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***</w:t>
      </w:r>
    </w:p>
    <w:p w14:paraId="103AE6E5" w14:textId="10235270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Nguyên nhân chủ yếu dẫn đến sự bùng nổ và phát triển của cao trào cách mạng ở Việt Nam năm 1930-1931 là:</w:t>
      </w:r>
    </w:p>
    <w:p w14:paraId="3EB88900" w14:textId="72082E7F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a.</w:t>
      </w:r>
      <w:bdo w:val="ltr">
        <w:r w:rsidRPr="008E5F7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8E5F79">
          <w:rPr>
            <w:rFonts w:ascii="Times New Roman" w:hAnsi="Times New Roman" w:cs="Times New Roman"/>
            <w:sz w:val="24"/>
            <w:szCs w:val="24"/>
          </w:rPr>
          <w:t>‬Tác động tiêu cực của cuộc khủng hoảng kinh tế 1929-1933 và chính sách khủng bố trắng của đế quốc Pháp.</w:t>
        </w:r>
        <w:r w:rsidR="00000000">
          <w:t>‬</w:t>
        </w:r>
      </w:bdo>
    </w:p>
    <w:p w14:paraId="486CAC7A" w14:textId="75B5F423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8E5F79">
        <w:rPr>
          <w:rFonts w:ascii="Times New Roman" w:hAnsi="Times New Roman" w:cs="Times New Roman"/>
          <w:sz w:val="24"/>
          <w:szCs w:val="24"/>
        </w:rPr>
        <w:t>‬Chính sách tăng cường vơ vét bóc lột của đế quốc Pháp.</w:t>
      </w:r>
    </w:p>
    <w:p w14:paraId="0C21983E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c.</w:t>
      </w:r>
      <w:bdo w:val="ltr">
        <w:r w:rsidRPr="008E5F7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8E5F79">
          <w:rPr>
            <w:rFonts w:ascii="Times New Roman" w:hAnsi="Times New Roman" w:cs="Times New Roman"/>
            <w:sz w:val="24"/>
            <w:szCs w:val="24"/>
          </w:rPr>
          <w:t>‬Sự lãnh đạo của Đảng Cộng sản Việt Nam.</w:t>
        </w:r>
        <w:r w:rsidR="00000000">
          <w:t>‬</w:t>
        </w:r>
      </w:bdo>
    </w:p>
    <w:p w14:paraId="7FDA46C8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F79">
        <w:rPr>
          <w:rFonts w:ascii="Times New Roman" w:hAnsi="Times New Roman" w:cs="Times New Roman"/>
          <w:b/>
          <w:bCs/>
          <w:sz w:val="24"/>
          <w:szCs w:val="24"/>
        </w:rPr>
        <w:t>d.</w:t>
      </w:r>
      <w:bdo w:val="ltr">
        <w:r w:rsidRPr="008E5F79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a, b và c</w:t>
        </w:r>
        <w:r w:rsidRPr="008E5F79">
          <w:rPr>
            <w:rFonts w:ascii="Times New Roman" w:hAnsi="Times New Roman" w:cs="Times New Roman"/>
            <w:b/>
            <w:bCs/>
            <w:sz w:val="24"/>
            <w:szCs w:val="24"/>
          </w:rPr>
          <w:t>‬</w:t>
        </w:r>
        <w:r w:rsidR="00000000">
          <w:t>‬</w:t>
        </w:r>
      </w:bdo>
    </w:p>
    <w:p w14:paraId="73DA52B3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2. Luận cương chính trị năm 1930 còn được gọi là:</w:t>
      </w:r>
    </w:p>
    <w:p w14:paraId="19A39A89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F79">
        <w:rPr>
          <w:rFonts w:ascii="Times New Roman" w:hAnsi="Times New Roman" w:cs="Times New Roman"/>
          <w:b/>
          <w:bCs/>
          <w:sz w:val="24"/>
          <w:szCs w:val="24"/>
        </w:rPr>
        <w:t>a.</w:t>
      </w:r>
      <w:bdo w:val="ltr">
        <w:r w:rsidRPr="008E5F79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Luận cương cách mạng tư sản dân quyền. </w:t>
        </w:r>
        <w:r w:rsidRPr="008E5F79">
          <w:rPr>
            <w:rFonts w:ascii="Times New Roman" w:hAnsi="Times New Roman" w:cs="Times New Roman"/>
            <w:b/>
            <w:bCs/>
            <w:sz w:val="24"/>
            <w:szCs w:val="24"/>
          </w:rPr>
          <w:t>‬</w:t>
        </w:r>
        <w:r w:rsidR="00000000">
          <w:t>‬</w:t>
        </w:r>
      </w:bdo>
    </w:p>
    <w:p w14:paraId="346C36D6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b.</w:t>
      </w:r>
      <w:bdo w:val="ltr">
        <w:r w:rsidRPr="008E5F7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8E5F79">
          <w:rPr>
            <w:rFonts w:ascii="Times New Roman" w:hAnsi="Times New Roman" w:cs="Times New Roman"/>
            <w:sz w:val="24"/>
            <w:szCs w:val="24"/>
          </w:rPr>
          <w:t>‬Luận cương cách mạng dân chủ tư sản kiểu mới.</w:t>
        </w:r>
        <w:r w:rsidR="00000000">
          <w:t>‬</w:t>
        </w:r>
      </w:bdo>
    </w:p>
    <w:p w14:paraId="36808B01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c.</w:t>
      </w:r>
      <w:bdo w:val="ltr">
        <w:r w:rsidRPr="008E5F7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8E5F79">
          <w:rPr>
            <w:rFonts w:ascii="Times New Roman" w:hAnsi="Times New Roman" w:cs="Times New Roman"/>
            <w:sz w:val="24"/>
            <w:szCs w:val="24"/>
          </w:rPr>
          <w:t>‬Luận cương cách mạng dân tộc dân chủ nhân dân.</w:t>
        </w:r>
        <w:r w:rsidR="00000000">
          <w:t>‬</w:t>
        </w:r>
      </w:bdo>
    </w:p>
    <w:p w14:paraId="7C618857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3. Chính quyền Xô-viết ở một số vùng nông thôn Nghệ -Tĩnh được thành lập vào khoảng thời gian nào sau đây?</w:t>
      </w:r>
    </w:p>
    <w:p w14:paraId="44B86FC9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a.</w:t>
      </w:r>
      <w:bdo w:val="ltr">
        <w:r w:rsidRPr="008E5F7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8E5F79">
          <w:rPr>
            <w:rFonts w:ascii="Times New Roman" w:hAnsi="Times New Roman" w:cs="Times New Roman"/>
            <w:sz w:val="24"/>
            <w:szCs w:val="24"/>
          </w:rPr>
          <w:t>‬Đầu năm 1930.</w:t>
        </w:r>
        <w:r w:rsidR="00000000">
          <w:t>‬</w:t>
        </w:r>
      </w:bdo>
    </w:p>
    <w:p w14:paraId="72A5475C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F79">
        <w:rPr>
          <w:rFonts w:ascii="Times New Roman" w:hAnsi="Times New Roman" w:cs="Times New Roman"/>
          <w:b/>
          <w:bCs/>
          <w:sz w:val="24"/>
          <w:szCs w:val="24"/>
        </w:rPr>
        <w:t>b.</w:t>
      </w:r>
      <w:bdo w:val="ltr">
        <w:r w:rsidRPr="008E5F79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Cuối năm 1930.</w:t>
        </w:r>
        <w:r w:rsidRPr="008E5F79">
          <w:rPr>
            <w:rFonts w:ascii="Times New Roman" w:hAnsi="Times New Roman" w:cs="Times New Roman"/>
            <w:b/>
            <w:bCs/>
            <w:sz w:val="24"/>
            <w:szCs w:val="24"/>
          </w:rPr>
          <w:t>‬</w:t>
        </w:r>
        <w:r w:rsidR="00000000">
          <w:t>‬</w:t>
        </w:r>
      </w:bdo>
    </w:p>
    <w:p w14:paraId="49AF905A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c.</w:t>
      </w:r>
      <w:bdo w:val="ltr">
        <w:r w:rsidRPr="008E5F7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8E5F79">
          <w:rPr>
            <w:rFonts w:ascii="Times New Roman" w:hAnsi="Times New Roman" w:cs="Times New Roman"/>
            <w:sz w:val="24"/>
            <w:szCs w:val="24"/>
          </w:rPr>
          <w:t>‬Đầu năm 1931.</w:t>
        </w:r>
        <w:r w:rsidR="00000000">
          <w:t>‬</w:t>
        </w:r>
      </w:bdo>
    </w:p>
    <w:p w14:paraId="6F41B751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d.</w:t>
      </w:r>
      <w:bdo w:val="ltr">
        <w:r w:rsidRPr="008E5F7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8E5F79">
          <w:rPr>
            <w:rFonts w:ascii="Times New Roman" w:hAnsi="Times New Roman" w:cs="Times New Roman"/>
            <w:sz w:val="24"/>
            <w:szCs w:val="24"/>
          </w:rPr>
          <w:t>‬Cuối năm 1931</w:t>
        </w:r>
        <w:r w:rsidR="00000000">
          <w:t>‬</w:t>
        </w:r>
      </w:bdo>
    </w:p>
    <w:p w14:paraId="13271B1A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4. Sau Hội nghị lần thứ nhất Ban chấp hành Trung ương lâm thời tại Hương Cảng, Đảng Cộng sản Việt Nam đã đổi tên thành?</w:t>
      </w:r>
    </w:p>
    <w:p w14:paraId="5E47716F" w14:textId="19241A64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F79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b/>
          <w:bCs/>
          <w:sz w:val="24"/>
          <w:szCs w:val="24"/>
        </w:rPr>
        <w:t xml:space="preserve"> Đảng Cộng sản Đông Dương</w:t>
      </w:r>
    </w:p>
    <w:p w14:paraId="75D7A9FB" w14:textId="5B3A47F2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Đảng Cộng sản Việt Đông</w:t>
      </w:r>
    </w:p>
    <w:p w14:paraId="6DA0E948" w14:textId="689B4D5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Đảng Cộng sản Đông Nam Á</w:t>
      </w:r>
    </w:p>
    <w:p w14:paraId="51226CF6" w14:textId="741C2105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</w:t>
      </w:r>
      <w:r w:rsidR="0064798D">
        <w:rPr>
          <w:rFonts w:ascii="Times New Roman" w:hAnsi="Times New Roman" w:cs="Times New Roman"/>
          <w:sz w:val="24"/>
          <w:szCs w:val="24"/>
        </w:rPr>
        <w:tab/>
      </w:r>
    </w:p>
    <w:p w14:paraId="30BAF24F" w14:textId="1FF86F3A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 xml:space="preserve">5. </w:t>
      </w:r>
      <w:r w:rsidR="0064798D">
        <w:rPr>
          <w:rFonts w:ascii="Times New Roman" w:hAnsi="Times New Roman" w:cs="Times New Roman"/>
          <w:sz w:val="24"/>
          <w:szCs w:val="24"/>
        </w:rPr>
        <w:tab/>
      </w:r>
    </w:p>
    <w:p w14:paraId="0EEE8B7B" w14:textId="6EBC90FF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Giai cấp tiểu tư sản</w:t>
      </w:r>
    </w:p>
    <w:p w14:paraId="7069ABCC" w14:textId="2BC77EDB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F79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b/>
          <w:bCs/>
          <w:sz w:val="24"/>
          <w:szCs w:val="24"/>
        </w:rPr>
        <w:t xml:space="preserve"> Giai cấp công nhân</w:t>
      </w:r>
    </w:p>
    <w:p w14:paraId="20F0A134" w14:textId="69EE5C8C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Giai cấp địa chủ</w:t>
      </w:r>
    </w:p>
    <w:p w14:paraId="4A65178A" w14:textId="479CB1F2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Giai cấp tư sản</w:t>
      </w:r>
    </w:p>
    <w:p w14:paraId="2344E632" w14:textId="4064A45E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lastRenderedPageBreak/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Nhiệm vụ cốt yếu của cách mạng tư sản dân quyền là gì?</w:t>
      </w:r>
    </w:p>
    <w:p w14:paraId="253FD692" w14:textId="2CCA845C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F79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b/>
          <w:bCs/>
          <w:sz w:val="24"/>
          <w:szCs w:val="24"/>
        </w:rPr>
        <w:t xml:space="preserve"> Đánh đổ phong kiến và thực hiện cách mạng ruộng đất triệt để.</w:t>
      </w:r>
    </w:p>
    <w:p w14:paraId="1D1760AE" w14:textId="0DA8EDD9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Xây dựng nền kinh tế độc lập</w:t>
      </w:r>
    </w:p>
    <w:p w14:paraId="24E4AB2F" w14:textId="778A71AD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Thực hiện cách mạng xã hội chủ nghĩa</w:t>
      </w:r>
    </w:p>
    <w:p w14:paraId="7387F7D9" w14:textId="1BB5022F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Phát triển tư bản và thương mại</w:t>
      </w:r>
    </w:p>
    <w:p w14:paraId="423C2E80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7. Theo luận cương chính trị 10/1930, mâu thuẫn cốt lõi trong xã hội Đông Dương là giữa:</w:t>
      </w:r>
    </w:p>
    <w:p w14:paraId="19D0C948" w14:textId="43DACB36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Giai cấp công nhân và tư bản thương mại.</w:t>
      </w:r>
    </w:p>
    <w:p w14:paraId="79C68E64" w14:textId="5994239E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F79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b/>
          <w:bCs/>
          <w:sz w:val="24"/>
          <w:szCs w:val="24"/>
        </w:rPr>
        <w:t xml:space="preserve"> Thợ thuyền, dân cày và địa chủ phong kiến.</w:t>
      </w:r>
    </w:p>
    <w:p w14:paraId="51519E38" w14:textId="34631222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Giai cấp vô sản và giai cấp tư sản dân tộc.</w:t>
      </w:r>
    </w:p>
    <w:p w14:paraId="432FA8FA" w14:textId="4E339A00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Đảng Cộng sản và thực dân Pháp.</w:t>
      </w:r>
    </w:p>
    <w:p w14:paraId="16726879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8. Luận cương chính trị 1930 khẳng định rằng cách mạng Đông Dương liên hệ mật thiết với:</w:t>
      </w:r>
    </w:p>
    <w:p w14:paraId="3E1EA1C7" w14:textId="3AD0F976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Giai cấp tư sản các nước.</w:t>
      </w:r>
    </w:p>
    <w:p w14:paraId="3831357F" w14:textId="3974C4A5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F79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b/>
          <w:bCs/>
          <w:sz w:val="24"/>
          <w:szCs w:val="24"/>
        </w:rPr>
        <w:t xml:space="preserve"> Giai cấp vô sản các nước và các dân tộc thuộc địa.</w:t>
      </w:r>
    </w:p>
    <w:p w14:paraId="52DE19AF" w14:textId="1602B7FE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Giai cấp phong kiến các nước.</w:t>
      </w:r>
    </w:p>
    <w:p w14:paraId="2D8C3288" w14:textId="56816C2A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Giai cấp công nhân các nước.</w:t>
      </w:r>
    </w:p>
    <w:p w14:paraId="72EE6156" w14:textId="5635C9B3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9</w:t>
      </w:r>
      <w:r w:rsidRPr="008E5F79">
        <w:rPr>
          <w:rFonts w:ascii="Times New Roman" w:hAnsi="Times New Roman" w:cs="Times New Roman"/>
          <w:sz w:val="24"/>
          <w:szCs w:val="24"/>
        </w:rPr>
        <w:t>. Luận cương chính trị 10/1930 đã góp phần vào lịch sử chính trị Việt Nam bằng cách:</w:t>
      </w:r>
    </w:p>
    <w:p w14:paraId="3E19210B" w14:textId="381B8AB1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F79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b/>
          <w:bCs/>
          <w:sz w:val="24"/>
          <w:szCs w:val="24"/>
        </w:rPr>
        <w:t xml:space="preserve"> Tạo ra một nền tảng lý luận và hành động cho các cuộc đấu tranh dân tộc và cách mạng trong nhiều thập kỷ sau này.</w:t>
      </w:r>
    </w:p>
    <w:p w14:paraId="65158620" w14:textId="29C54961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Khẳng định mối quan hệ giữa cách mạng Việt Nam và cách mạng thế giới.</w:t>
      </w:r>
    </w:p>
    <w:p w14:paraId="05C75F62" w14:textId="6DB9C1DC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Phân tích tình hình xã hội thuộc địa nửa phong kiến ở Đông Dương.</w:t>
      </w:r>
    </w:p>
    <w:p w14:paraId="4CA2D957" w14:textId="1377C601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E5F79">
        <w:rPr>
          <w:rFonts w:ascii="Times New Roman" w:hAnsi="Times New Roman" w:cs="Times New Roman"/>
          <w:sz w:val="24"/>
          <w:szCs w:val="24"/>
        </w:rPr>
        <w:t xml:space="preserve"> Tạo ra sự kích thích trong phong trào dân chủ tổ chức và sáng tạo ở Việt Nam.</w:t>
      </w:r>
    </w:p>
    <w:p w14:paraId="5376B241" w14:textId="6DA8DB8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</w:t>
      </w:r>
      <w:r w:rsidRPr="008E5F79">
        <w:rPr>
          <w:rFonts w:ascii="Times New Roman" w:hAnsi="Times New Roman" w:cs="Times New Roman"/>
          <w:sz w:val="24"/>
          <w:szCs w:val="24"/>
        </w:rPr>
        <w:t xml:space="preserve">. Luận cương chính trị 10/1930 không đề cập đến sự khác biệt về lịch sử, văn hóa giữa các quốc gia Đông Dương, dẫn đến:  </w:t>
      </w:r>
    </w:p>
    <w:p w14:paraId="0BA1583C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F79">
        <w:rPr>
          <w:rFonts w:ascii="Times New Roman" w:hAnsi="Times New Roman" w:cs="Times New Roman"/>
          <w:b/>
          <w:bCs/>
          <w:sz w:val="24"/>
          <w:szCs w:val="24"/>
        </w:rPr>
        <w:t>a) Sự thiếu hụt sức mạnh đoàn kết và sự đồng lòng trong cuộc đấu tranh cách mạng.</w:t>
      </w:r>
    </w:p>
    <w:p w14:paraId="47C2A97F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b) Sự đánh giá không đúng vai trò của tầng lớp tiểu tư sản trong cách mạng.</w:t>
      </w:r>
    </w:p>
    <w:p w14:paraId="11ED53B7" w14:textId="77777777" w:rsidR="008E5F79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c) Thiếu chiến lược liên minh dân tộc và giai cấp rộng rãi trong đấu tranh chống đế quốc.</w:t>
      </w:r>
    </w:p>
    <w:p w14:paraId="6C41662A" w14:textId="58B16081" w:rsidR="004A094E" w:rsidRPr="008E5F79" w:rsidRDefault="008E5F79" w:rsidP="008E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F79">
        <w:rPr>
          <w:rFonts w:ascii="Times New Roman" w:hAnsi="Times New Roman" w:cs="Times New Roman"/>
          <w:sz w:val="24"/>
          <w:szCs w:val="24"/>
        </w:rPr>
        <w:t>d) Đánh giá không đúng mâu thuẫn giữa dân tộc Việt Nam và đế quốc Pháp.</w:t>
      </w:r>
    </w:p>
    <w:sectPr w:rsidR="004A094E" w:rsidRPr="008E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79"/>
    <w:rsid w:val="002841A7"/>
    <w:rsid w:val="004A094E"/>
    <w:rsid w:val="0064798D"/>
    <w:rsid w:val="008E5F79"/>
    <w:rsid w:val="00AA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752C"/>
  <w15:chartTrackingRefBased/>
  <w15:docId w15:val="{40E4B7B1-388C-4D47-A064-0C6BF738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Vinh Veer</cp:lastModifiedBy>
  <cp:revision>3</cp:revision>
  <dcterms:created xsi:type="dcterms:W3CDTF">2024-02-14T09:42:00Z</dcterms:created>
  <dcterms:modified xsi:type="dcterms:W3CDTF">2024-02-20T14:46:00Z</dcterms:modified>
</cp:coreProperties>
</file>