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  <w:lang w:val="pt-BR"/>
        </w:rPr>
        <w:t>Aluno: Vinícius Santos Monteiro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  <w:sz w:val="24"/>
          <w:szCs w:val="24"/>
          <w:lang w:val="pt-BR"/>
        </w:rPr>
        <w:t>Nº USP: 11932463</w:t>
      </w:r>
    </w:p>
    <w:p>
      <w:pPr>
        <w:pStyle w:val="Normal"/>
        <w:rPr>
          <w:lang w:val="pt-BR"/>
        </w:rPr>
      </w:pPr>
      <w:r>
        <w:rPr>
          <w:b/>
          <w:bCs/>
          <w:lang w:val="pt-BR"/>
        </w:rPr>
        <w:t>Financiamento de partidos entre 2017 e 2024</w:t>
      </w:r>
    </w:p>
    <w:p>
      <w:pPr>
        <w:pStyle w:val="Normal"/>
        <w:rPr>
          <w:lang w:val="pt-BR"/>
        </w:rPr>
      </w:pPr>
      <w:r>
        <w:rPr>
          <w:b/>
          <w:bCs/>
          <w:lang w:val="pt-BR"/>
        </w:rPr>
      </w:r>
    </w:p>
    <w:p>
      <w:pPr>
        <w:pStyle w:val="Normal"/>
        <w:pageBreakBefore w:val="false"/>
        <w:rPr>
          <w:b/>
          <w:bCs/>
          <w:lang w:val="pt-BR"/>
        </w:rPr>
      </w:pPr>
      <w:r>
        <w:rPr>
          <w:b/>
          <w:bCs/>
          <w:lang w:val="pt-BR"/>
        </w:rPr>
        <w:t>Receitas Consolidadas por Origem da Doação</w:t>
      </w:r>
    </w:p>
    <w:tbl>
      <w:tblPr>
        <w:tblW w:w="8818" w:type="dxa"/>
        <w:jc w:val="left"/>
        <w:tblInd w:w="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275"/>
        <w:gridCol w:w="739"/>
        <w:gridCol w:w="922"/>
        <w:gridCol w:w="953"/>
        <w:gridCol w:w="900"/>
        <w:gridCol w:w="686"/>
        <w:gridCol w:w="671"/>
        <w:gridCol w:w="861"/>
        <w:gridCol w:w="739"/>
        <w:gridCol w:w="1072"/>
      </w:tblGrid>
      <w:tr>
        <w:trPr>
          <w:trHeight w:val="477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DS_TP_ORIGEM_DOACAO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2017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2018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2019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2020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2021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2022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2023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2024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b/>
                <w:sz w:val="16"/>
                <w:szCs w:val="16"/>
              </w:rPr>
              <w:t>Total Resultado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#NULO#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27891,6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13983,48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7669,36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45084,12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53614,25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16415,77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14591,78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27255,87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206506,23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Cotas do Fundo Especial de Financiamento de Campanha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NaN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29203202,71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NaN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35824724,42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NaN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NaN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NaN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60258882,78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125286809,91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Cotas do Fundo Partidário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12341699,12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13462117,43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15552832,53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17299153,54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16947139,53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16376048,83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8248569,04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16947846,28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117175406,3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Origem não Identificada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8804,79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28981,34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9025,34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19957,8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2438,26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4257,61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34207,67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1369,73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109042,54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Recursos de Candidatos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914,39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187810,13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26613,13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683544,38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22224,68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473841,64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42,26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498427,24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1893417,85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Recursos de Partidos Políticos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3368750,45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3625928,23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3259805,39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23766419,66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4950891,63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27256550,84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1431724,08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21713335,31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89373405,59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Recursos de Pessoas Físicas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1275760,8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1280146,75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994722,09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4917532,34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1350027,94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1787236,08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741719,57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4140890,04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16488035,61</w:t>
            </w:r>
          </w:p>
        </w:tc>
      </w:tr>
      <w:tr>
        <w:trPr>
          <w:trHeight w:val="256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Recursos de Pessoas Jurídicas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19040,4</w:t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32289,18</w:t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45598,09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43141,42</w:t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152529,32</w:t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130378,59</w:t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1447218,09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1573521,22</w:t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  <w:t>3443716,31</w:t>
            </w:r>
          </w:p>
        </w:tc>
      </w:tr>
      <w:tr>
        <w:trPr>
          <w:trHeight w:val="652" w:hRule="atLeast"/>
        </w:trPr>
        <w:tc>
          <w:tcPr>
            <w:tcW w:w="127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i/>
                <w:i/>
                <w:sz w:val="16"/>
                <w:szCs w:val="16"/>
              </w:rPr>
            </w:pPr>
            <w:r>
              <w:rPr>
                <w:rFonts w:ascii="Liberation Serif" w:hAnsi="Liberation Serif"/>
                <w:i/>
                <w:sz w:val="16"/>
                <w:szCs w:val="16"/>
              </w:rPr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92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95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68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67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86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sz w:val="16"/>
                <w:szCs w:val="16"/>
              </w:rPr>
            </w:pPr>
            <w:r>
              <w:rPr>
                <w:rFonts w:ascii="Liberation Serif" w:hAnsi="Liberation Serif"/>
                <w:sz w:val="16"/>
                <w:szCs w:val="16"/>
              </w:rPr>
            </w:r>
          </w:p>
        </w:tc>
        <w:tc>
          <w:tcPr>
            <w:tcW w:w="107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Liberation Serif" w:hAnsi="Liberation Serif"/>
                <w:i/>
                <w:i/>
                <w:sz w:val="16"/>
                <w:szCs w:val="16"/>
              </w:rPr>
            </w:pPr>
            <w:r>
              <w:rPr>
                <w:rFonts w:ascii="Liberation Serif" w:hAnsi="Liberation Serif"/>
                <w:i/>
                <w:sz w:val="16"/>
                <w:szCs w:val="16"/>
              </w:rPr>
              <w:t>Total R$ 353.976.340,34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  <w:lang w:val="pt-BR"/>
        </w:rPr>
      </w:pPr>
      <w:r>
        <w:rPr>
          <w:b/>
          <w:bCs/>
          <w:lang w:val="pt-BR"/>
        </w:rPr>
        <w:t>Per</w:t>
      </w:r>
      <w:r>
        <w:rPr>
          <w:b/>
          <w:bCs/>
          <w:lang w:val="pt-BR"/>
        </w:rPr>
        <w:t>centual Público:</w:t>
      </w:r>
      <w:r>
        <w:rPr>
          <w:b w:val="false"/>
          <w:bCs w:val="false"/>
          <w:lang w:val="pt-BR"/>
        </w:rPr>
        <w:t xml:space="preserve"> Soma</w:t>
      </w:r>
      <w:r>
        <w:rPr>
          <w:b w:val="false"/>
          <w:bCs w:val="false"/>
          <w:lang w:val="pt-BR"/>
        </w:rPr>
        <w:t xml:space="preserve">ndo as duas fontes públicas (Cotas do Fundo Especial de Financiamento de Campanha (FEFC) com R$ 125,3 milhões e Cotas do Fundo Partidário </w:t>
      </w:r>
      <w:r>
        <w:rPr/>
        <w:t>com R$ 117,2 milhões</w:t>
      </w:r>
      <w:r>
        <w:rPr>
          <w:b w:val="false"/>
          <w:bCs w:val="false"/>
          <w:lang w:val="pt-BR"/>
        </w:rPr>
        <w:t>)</w:t>
      </w:r>
      <w:r>
        <w:rPr>
          <w:b w:val="false"/>
          <w:bCs w:val="false"/>
          <w:lang w:val="pt-BR"/>
        </w:rPr>
        <w:t xml:space="preserve">, totalizam R$ 242,5 milhões, o que representa 68,5% de toda a receita do partido no período. O Fundo Eleitoral </w:t>
      </w:r>
      <w:r>
        <w:rPr>
          <w:b w:val="false"/>
          <w:bCs w:val="false"/>
          <w:lang w:val="pt-BR"/>
        </w:rPr>
        <w:t>(FEFC</w:t>
      </w:r>
      <w:r>
        <w:rPr>
          <w:b w:val="false"/>
          <w:bCs w:val="false"/>
          <w:lang w:val="pt-BR"/>
        </w:rPr>
        <w:t>) mostra picos nos anos eleitorais (2018, 2020, 2024), como esperado.</w:t>
        <w:br/>
      </w:r>
    </w:p>
    <w:p>
      <w:pPr>
        <w:pStyle w:val="Normal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br/>
      </w:r>
      <w:r>
        <w:rPr>
          <w:b/>
          <w:bCs/>
          <w:lang w:val="pt-BR"/>
        </w:rPr>
        <w:t xml:space="preserve">Fontes Privadas: </w:t>
      </w:r>
      <w:r>
        <w:rPr>
          <w:b w:val="false"/>
          <w:bCs w:val="false"/>
          <w:lang w:val="pt-BR"/>
        </w:rPr>
        <w:t xml:space="preserve">A arrecadação com Recursos de Pessoas Físicas </w:t>
      </w:r>
      <w:r>
        <w:rPr>
          <w:b w:val="false"/>
          <w:bCs w:val="false"/>
          <w:lang w:val="pt-BR"/>
        </w:rPr>
        <w:t xml:space="preserve">com </w:t>
      </w:r>
      <w:r>
        <w:rPr>
          <w:b w:val="false"/>
          <w:bCs w:val="false"/>
          <w:lang w:val="pt-BR"/>
        </w:rPr>
        <w:t xml:space="preserve">R$ 16,5 milhões </w:t>
      </w:r>
      <w:r>
        <w:rPr>
          <w:b w:val="false"/>
          <w:bCs w:val="false"/>
          <w:lang w:val="pt-BR"/>
        </w:rPr>
        <w:t>(</w:t>
      </w:r>
      <w:r>
        <w:rPr>
          <w:b w:val="false"/>
          <w:bCs w:val="false"/>
          <w:lang w:val="pt-BR"/>
        </w:rPr>
        <w:t xml:space="preserve">4,7% do total) é </w:t>
      </w:r>
      <w:r>
        <w:rPr>
          <w:b w:val="false"/>
          <w:bCs w:val="false"/>
          <w:lang w:val="pt-BR"/>
        </w:rPr>
        <w:t>muito</w:t>
      </w:r>
      <w:r>
        <w:rPr>
          <w:b w:val="false"/>
          <w:bCs w:val="false"/>
          <w:lang w:val="pt-BR"/>
        </w:rPr>
        <w:t xml:space="preserve"> maior que a de Recursos de Pessoas Jurídicas </w:t>
      </w:r>
      <w:r>
        <w:rPr>
          <w:b w:val="false"/>
          <w:bCs w:val="false"/>
          <w:lang w:val="pt-BR"/>
        </w:rPr>
        <w:t xml:space="preserve">com </w:t>
      </w:r>
      <w:r>
        <w:rPr>
          <w:b w:val="false"/>
          <w:bCs w:val="false"/>
          <w:lang w:val="pt-BR"/>
        </w:rPr>
        <w:t xml:space="preserve">R$ 3,4 milhões </w:t>
      </w:r>
      <w:r>
        <w:rPr>
          <w:b w:val="false"/>
          <w:bCs w:val="false"/>
          <w:lang w:val="pt-BR"/>
        </w:rPr>
        <w:t>(</w:t>
      </w:r>
      <w:r>
        <w:rPr>
          <w:b w:val="false"/>
          <w:bCs w:val="false"/>
          <w:lang w:val="pt-BR"/>
        </w:rPr>
        <w:t>1% do total).</w:t>
      </w:r>
    </w:p>
    <w:p>
      <w:pPr>
        <w:pStyle w:val="Normal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p>
      <w:pPr>
        <w:pStyle w:val="Normal"/>
        <w:rPr/>
      </w:pPr>
      <w:r>
        <w:rPr/>
        <w:br/>
      </w:r>
      <w:r>
        <w:br w:type="page"/>
      </w:r>
    </w:p>
    <w:p>
      <w:pPr>
        <w:pStyle w:val="Normal"/>
        <w:rPr>
          <w:b/>
          <w:bCs/>
          <w:lang w:val="pt-BR"/>
        </w:rPr>
      </w:pPr>
      <w:r>
        <w:rPr>
          <w:b/>
          <w:bCs/>
          <w:lang w:val="pt-BR"/>
        </w:rPr>
        <w:t>Receitas por Esfera Federativa</w:t>
      </w:r>
    </w:p>
    <w:tbl>
      <w:tblPr>
        <w:tblW w:w="8507" w:type="dxa"/>
        <w:jc w:val="left"/>
        <w:tblInd w:w="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050"/>
        <w:gridCol w:w="793"/>
        <w:gridCol w:w="793"/>
        <w:gridCol w:w="996"/>
        <w:gridCol w:w="900"/>
        <w:gridCol w:w="793"/>
        <w:gridCol w:w="793"/>
        <w:gridCol w:w="739"/>
        <w:gridCol w:w="793"/>
        <w:gridCol w:w="857"/>
      </w:tblGrid>
      <w:tr>
        <w:trPr>
          <w:trHeight w:val="477" w:hRule="atLeast"/>
        </w:trPr>
        <w:tc>
          <w:tcPr>
            <w:tcW w:w="105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ESFERA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2017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2018</w:t>
            </w:r>
          </w:p>
        </w:tc>
        <w:tc>
          <w:tcPr>
            <w:tcW w:w="99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2019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2020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2021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2022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2023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2024</w:t>
            </w:r>
          </w:p>
        </w:tc>
        <w:tc>
          <w:tcPr>
            <w:tcW w:w="85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b/>
                <w:sz w:val="18"/>
                <w:szCs w:val="18"/>
              </w:rPr>
              <w:t>Total Resultado</w:t>
            </w:r>
          </w:p>
        </w:tc>
      </w:tr>
      <w:tr>
        <w:trPr>
          <w:trHeight w:val="256" w:hRule="atLeast"/>
        </w:trPr>
        <w:tc>
          <w:tcPr>
            <w:tcW w:w="105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NACIONAL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12570112,65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42802067,91</w:t>
            </w:r>
          </w:p>
        </w:tc>
        <w:tc>
          <w:tcPr>
            <w:tcW w:w="99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15606661,27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53493469,43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17217721,97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16778577,98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9664495,98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79971584,25</w:t>
            </w:r>
          </w:p>
        </w:tc>
        <w:tc>
          <w:tcPr>
            <w:tcW w:w="85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248104691,44</w:t>
            </w:r>
          </w:p>
        </w:tc>
      </w:tr>
      <w:tr>
        <w:trPr>
          <w:trHeight w:val="256" w:hRule="atLeast"/>
        </w:trPr>
        <w:tc>
          <w:tcPr>
            <w:tcW w:w="105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ESTADUAL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2824838,07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3461200,94</w:t>
            </w:r>
          </w:p>
        </w:tc>
        <w:tc>
          <w:tcPr>
            <w:tcW w:w="99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2930031,79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20822079,2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4856041,55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27573108,78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1448112,66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15529869,44</w:t>
            </w:r>
          </w:p>
        </w:tc>
        <w:tc>
          <w:tcPr>
            <w:tcW w:w="85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79445282,43</w:t>
            </w:r>
          </w:p>
        </w:tc>
      </w:tr>
      <w:tr>
        <w:trPr>
          <w:trHeight w:val="256" w:hRule="atLeast"/>
        </w:trPr>
        <w:tc>
          <w:tcPr>
            <w:tcW w:w="105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MUNICIPAL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1647910,83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1571190,4</w:t>
            </w:r>
          </w:p>
        </w:tc>
        <w:tc>
          <w:tcPr>
            <w:tcW w:w="99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1359572,87</w:t>
            </w:r>
          </w:p>
        </w:tc>
        <w:tc>
          <w:tcPr>
            <w:tcW w:w="900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8284009,05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1405102,09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1693042,6</w:t>
            </w:r>
          </w:p>
        </w:tc>
        <w:tc>
          <w:tcPr>
            <w:tcW w:w="73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805463,85</w:t>
            </w:r>
          </w:p>
        </w:tc>
        <w:tc>
          <w:tcPr>
            <w:tcW w:w="793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9660074,78</w:t>
            </w:r>
          </w:p>
        </w:tc>
        <w:tc>
          <w:tcPr>
            <w:tcW w:w="85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right"/>
              <w:rPr>
                <w:sz w:val="18"/>
                <w:szCs w:val="1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26426366,47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br/>
      </w:r>
      <w:r>
        <w:rPr>
          <w:b/>
          <w:bCs/>
          <w:lang w:val="pt-BR"/>
        </w:rPr>
        <w:t xml:space="preserve">Arrecadação Subnacional: </w:t>
      </w:r>
      <w:r>
        <w:rPr>
          <w:b w:val="false"/>
          <w:bCs w:val="false"/>
          <w:lang w:val="pt-BR"/>
        </w:rPr>
        <w:t>As esferas Estadual e Municipal arrecadaram R$ 105,8 milhões, sendo da esfera Estadual R$ 79,4 milhões (22,4%) e a Municipal R$ 26,4 milhões (7,5%).</w:t>
        <w:br/>
      </w:r>
    </w:p>
    <w:p>
      <w:pPr>
        <w:pStyle w:val="Normal"/>
        <w:rPr>
          <w:b w:val="false"/>
          <w:bCs w:val="false"/>
          <w:lang w:val="pt-BR"/>
        </w:rPr>
      </w:pPr>
      <w:r>
        <w:rPr>
          <w:b/>
          <w:bCs/>
          <w:lang w:val="pt-BR"/>
        </w:rPr>
        <w:t>Alta Centralização:</w:t>
      </w:r>
      <w:r>
        <w:rPr>
          <w:b w:val="false"/>
          <w:bCs w:val="false"/>
          <w:lang w:val="pt-BR"/>
        </w:rPr>
        <w:t xml:space="preserve"> A esfera 1 Nacional é responsável pela arrecadação direta de R$ 248,1 milhões, o que corresponde a 70% do total arrecadado, o que mostra que a estrutura de arrecadação do partido é muito centralizada. </w:t>
      </w:r>
    </w:p>
    <w:p>
      <w:pPr>
        <w:pStyle w:val="Normal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t xml:space="preserve">Esta centralização mostra que a maior parte dos recursos (como o Fundo Partidário e Eleitoral) é recebida pela direção nacional. </w:t>
      </w:r>
    </w:p>
    <w:p>
      <w:pPr>
        <w:pStyle w:val="Normal"/>
        <w:rPr/>
      </w:pPr>
      <w:r>
        <w:rPr>
          <w:b w:val="false"/>
          <w:bCs w:val="false"/>
          <w:lang w:val="pt-BR"/>
        </w:rPr>
        <w:t xml:space="preserve">Com isso, podemos dizer que a </w:t>
      </w:r>
      <w:r>
        <w:rPr/>
        <w:t xml:space="preserve">análise mostra um partido com financiamento </w:t>
      </w:r>
      <w:r>
        <w:rPr/>
        <w:t xml:space="preserve">muito </w:t>
      </w:r>
      <w:r>
        <w:rPr/>
        <w:t xml:space="preserve">dependente de fundos públicos (68,5%) e com uma arrecadação </w:t>
      </w:r>
      <w:r>
        <w:rPr/>
        <w:t xml:space="preserve">muiti </w:t>
      </w:r>
      <w:r>
        <w:rPr/>
        <w:t xml:space="preserve">centralizada na esfera nacional (70%). </w:t>
      </w:r>
      <w:r>
        <w:br w:type="page"/>
      </w:r>
    </w:p>
    <w:p>
      <w:pPr>
        <w:pStyle w:val="Normal"/>
        <w:spacing w:before="0" w:after="160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a82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c7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7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  <w:lang w:val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a34c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34c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34c7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34c7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34c7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34c7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34c7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34c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34c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34c7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34c7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34c77"/>
    <w:rPr>
      <w:b/>
      <w:bCs/>
      <w:smallCaps/>
      <w:color w:themeColor="accent1" w:themeShade="bf" w:val="0F4761"/>
      <w:spacing w:val="5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34c7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a34c77"/>
    <w:pPr>
      <w:spacing w:before="160" w:after="160"/>
      <w:jc w:val="center"/>
    </w:pPr>
    <w:rPr>
      <w:i/>
      <w:iCs/>
      <w:color w:themeColor="text1" w:themeTint="bf" w:val="404040"/>
      <w:lang w:val="pt-BR"/>
    </w:rPr>
  </w:style>
  <w:style w:type="paragraph" w:styleId="ListParagraph">
    <w:name w:val="List Paragraph"/>
    <w:basedOn w:val="Normal"/>
    <w:uiPriority w:val="34"/>
    <w:qFormat/>
    <w:rsid w:val="00a34c77"/>
    <w:pPr>
      <w:spacing w:before="0" w:after="160"/>
      <w:ind w:left="720"/>
      <w:contextualSpacing/>
    </w:pPr>
    <w:rPr>
      <w:lang w:val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  <w:lang w:val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LibreOffice/25.2.6.2$Windows_X86_64 LibreOffice_project/729c5bfe710f5eb71ed3bbde9e06a6065e9c6c5d</Application>
  <AppVersion>15.0000</AppVersion>
  <Pages>3</Pages>
  <Words>384</Words>
  <Characters>2470</Characters>
  <CharactersWithSpaces>2720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2025-11-05T21:27:00Z</dcterms:created>
  <dc:creator>Pedro Paulo Ferreira Bispo de Assis</dc:creator>
  <dc:description/>
  <dc:language>pt-BR</dc:language>
  <cp:lastModifiedBy/>
  <dcterms:modified xsi:type="dcterms:W3CDTF">2025-11-14T19:13:44Z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