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94" w:rsidRDefault="008F3294" w:rsidP="008F3294">
      <w:pPr>
        <w:pStyle w:val="Heading2"/>
      </w:pPr>
      <w:r>
        <w:t xml:space="preserve">Medidor de </w:t>
      </w:r>
      <w:proofErr w:type="spellStart"/>
      <w:r>
        <w:t>holdup</w:t>
      </w:r>
      <w:proofErr w:type="spellEnd"/>
      <w:r>
        <w:t xml:space="preserve"> para escoamento trifásico</w:t>
      </w:r>
    </w:p>
    <w:p w:rsidR="008F3294" w:rsidRDefault="008F3294" w:rsidP="008F3294">
      <w:r>
        <w:tab/>
        <w:t xml:space="preserve">Documentação para medição do medidor de </w:t>
      </w:r>
      <w:proofErr w:type="spellStart"/>
      <w:r>
        <w:t>holdup</w:t>
      </w:r>
      <w:proofErr w:type="spellEnd"/>
      <w:r>
        <w:t xml:space="preserve"> combinando medida ótica da altura da interface querosene-ar e a diferença de pressão medido no pé do medidor. A partir destas medidas e com o comprimento total do tubo, L</w:t>
      </w:r>
      <w:r w:rsidRPr="004658EB">
        <w:rPr>
          <w:vertAlign w:val="subscript"/>
        </w:rPr>
        <w:t>T</w:t>
      </w:r>
      <w:r>
        <w:t>, é possível determinar as alturas de água, querosene e ar. A partir destas medidas é possível estimar, experimentalmente, a medida das frações de água, querosene e água.</w:t>
      </w:r>
    </w:p>
    <w:p w:rsidR="00C62790" w:rsidRDefault="008F3294" w:rsidP="008F3294">
      <w:r>
        <w:tab/>
        <w:t xml:space="preserve">A seguir é apresentado a nomenclatura e um esquemático do medidor de </w:t>
      </w:r>
      <w:proofErr w:type="spellStart"/>
      <w:r>
        <w:t>holdup</w:t>
      </w:r>
      <w:proofErr w:type="spellEnd"/>
      <w:r>
        <w:t>.</w:t>
      </w:r>
    </w:p>
    <w:p w:rsidR="008F3294" w:rsidRDefault="008F3294" w:rsidP="008F3294"/>
    <w:p w:rsidR="008F3294" w:rsidRDefault="008F3294" w:rsidP="008F3294">
      <w:pPr>
        <w:pStyle w:val="Heading2"/>
      </w:pPr>
      <w:r>
        <w:t>Nomenclatura</w:t>
      </w:r>
    </w:p>
    <w:p w:rsidR="008F3294" w:rsidRDefault="008F3294" w:rsidP="008F3294">
      <w:r>
        <w:t xml:space="preserve"> </w:t>
      </w:r>
      <w:r>
        <w:rPr>
          <w:noProof/>
          <w:lang w:eastAsia="pt-BR"/>
        </w:rPr>
        <w:drawing>
          <wp:inline distT="0" distB="0" distL="0" distR="0" wp14:anchorId="567980D3">
            <wp:extent cx="5568696" cy="3145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96" cy="3145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294" w:rsidRDefault="008F3294" w:rsidP="008F3294">
      <w:r>
        <w:tab/>
        <w:t xml:space="preserve">O medidor de </w:t>
      </w:r>
      <w:proofErr w:type="spellStart"/>
      <w:r>
        <w:t>holdup</w:t>
      </w:r>
      <w:proofErr w:type="spellEnd"/>
      <w:r>
        <w:t xml:space="preserve"> no escoamento trifásico ar-água-querosene tem por finalidade a automação da medida da fração volumétrica de ar, água e querosene numa coluna de 1922 mm de altura. Na extremidade da coluna há duas válvulas de fechamento rápido. Quando acionado estas válvulas, a mistura trifásica fica aprisionada no volume </w:t>
      </w:r>
    </w:p>
    <w:p w:rsidR="008F3294" w:rsidRDefault="008F3294" w:rsidP="008F3294">
      <w:r>
        <w:t xml:space="preserve">O medidor de </w:t>
      </w:r>
      <w:proofErr w:type="spellStart"/>
      <w:r>
        <w:t>holdup</w:t>
      </w:r>
      <w:proofErr w:type="spellEnd"/>
      <w:r>
        <w:t xml:space="preserve"> do escoamento trifásico (ar-água-querosene) consiste de uma coluna vertical de 26,0 mm de diâmetro interno com 1922 mm entre duas tomadas de pressão, veja figura.</w:t>
      </w:r>
    </w:p>
    <w:p w:rsidR="008F3294" w:rsidRDefault="008F3294" w:rsidP="008F3294"/>
    <w:p w:rsidR="008F3294" w:rsidRDefault="008F3294" w:rsidP="008F3294">
      <w:pPr>
        <w:pStyle w:val="Heading2"/>
      </w:pPr>
      <w:r>
        <w:t>Procedimento de cálculo</w:t>
      </w:r>
    </w:p>
    <w:p w:rsidR="008F3294" w:rsidRDefault="008F3294" w:rsidP="008F3294"/>
    <w:p w:rsidR="008F3294" w:rsidRDefault="00542AC0" w:rsidP="008F3294">
      <w:r>
        <w:t>O</w:t>
      </w:r>
      <w:r w:rsidR="008F3294">
        <w:t xml:space="preserve"> medidor ótico determina a altura da coluna vertical de água e querosene, </w:t>
      </w:r>
      <w:proofErr w:type="gramStart"/>
      <w:r w:rsidR="008F3294">
        <w:t>L</w:t>
      </w:r>
      <w:r w:rsidR="008F3294" w:rsidRPr="00923424">
        <w:rPr>
          <w:vertAlign w:val="subscript"/>
        </w:rPr>
        <w:t>L</w:t>
      </w:r>
      <w:r w:rsidR="008F3294">
        <w:t>,.</w:t>
      </w:r>
      <w:proofErr w:type="gramEnd"/>
      <w:r w:rsidR="008F3294">
        <w:t xml:space="preserve"> </w:t>
      </w:r>
    </w:p>
    <w:p w:rsidR="008F3294" w:rsidRDefault="008F3294" w:rsidP="008F3294">
      <w:r>
        <w:lastRenderedPageBreak/>
        <w:t>Um me</w:t>
      </w:r>
      <w:r w:rsidR="00923424">
        <w:t>didor de pressão diferencial na extremidade</w:t>
      </w:r>
      <w:r>
        <w:t xml:space="preserve"> </w:t>
      </w:r>
      <w:r w:rsidR="00923424">
        <w:t xml:space="preserve">inferior </w:t>
      </w:r>
      <w:r>
        <w:t xml:space="preserve">do tubo mede a diferença de pressão da coluna de água e querosene contra uma coluna de água, </w:t>
      </w:r>
      <w:r w:rsidR="00923424">
        <w:sym w:font="Symbol" w:char="F044"/>
      </w:r>
      <w:r>
        <w:t xml:space="preserve">P. </w:t>
      </w:r>
    </w:p>
    <w:p w:rsidR="008F3294" w:rsidRDefault="008F3294" w:rsidP="008F3294">
      <w:r>
        <w:t xml:space="preserve">A partir do comprimento total da coluna de medição de </w:t>
      </w:r>
      <w:proofErr w:type="spellStart"/>
      <w:r>
        <w:t>holdup</w:t>
      </w:r>
      <w:proofErr w:type="spellEnd"/>
      <w:r>
        <w:t>, L</w:t>
      </w:r>
      <w:r w:rsidRPr="00923424">
        <w:rPr>
          <w:vertAlign w:val="subscript"/>
        </w:rPr>
        <w:t>T</w:t>
      </w:r>
      <w:r>
        <w:t>, da leitura do sensor ótico, L</w:t>
      </w:r>
      <w:r w:rsidRPr="00923424">
        <w:rPr>
          <w:vertAlign w:val="subscript"/>
        </w:rPr>
        <w:t>L</w:t>
      </w:r>
      <w:r>
        <w:t xml:space="preserve"> e do diferencial de pressão, </w:t>
      </w:r>
      <w:r w:rsidR="00923424">
        <w:sym w:font="Symbol" w:char="F044"/>
      </w:r>
      <w:r>
        <w:t xml:space="preserve">P, é possível determinar os </w:t>
      </w:r>
      <w:proofErr w:type="spellStart"/>
      <w:r>
        <w:t>holdups</w:t>
      </w:r>
      <w:proofErr w:type="spellEnd"/>
      <w:r>
        <w:t xml:space="preserve"> de água, querosene e ar, </w:t>
      </w:r>
      <w:proofErr w:type="spellStart"/>
      <w:r>
        <w:t>R</w:t>
      </w:r>
      <w:r w:rsidRPr="00923424">
        <w:rPr>
          <w:vertAlign w:val="subscript"/>
        </w:rPr>
        <w:t>w</w:t>
      </w:r>
      <w:proofErr w:type="spellEnd"/>
      <w:r>
        <w:t xml:space="preserve">, </w:t>
      </w:r>
      <w:proofErr w:type="spellStart"/>
      <w:r>
        <w:t>R</w:t>
      </w:r>
      <w:r w:rsidRPr="00923424">
        <w:rPr>
          <w:vertAlign w:val="subscript"/>
        </w:rPr>
        <w:t>k</w:t>
      </w:r>
      <w:proofErr w:type="spellEnd"/>
      <w:r>
        <w:t xml:space="preserve"> e R</w:t>
      </w:r>
      <w:r w:rsidRPr="00923424">
        <w:rPr>
          <w:vertAlign w:val="subscript"/>
        </w:rPr>
        <w:t>a</w:t>
      </w:r>
      <w:r>
        <w:t xml:space="preserve"> respectivamente. </w:t>
      </w:r>
    </w:p>
    <w:p w:rsidR="008F3294" w:rsidRDefault="008F3294" w:rsidP="008F3294">
      <w:r>
        <w:t>A diferença de pressão é dada por:</w:t>
      </w:r>
    </w:p>
    <w:p w:rsidR="008F3294" w:rsidRDefault="008F3294" w:rsidP="00405451">
      <w:pPr>
        <w:pStyle w:val="Equation"/>
      </w:pPr>
      <w:r>
        <w:tab/>
        <w:t xml:space="preserve"> </w:t>
      </w:r>
      <w:r w:rsidR="004658EB" w:rsidRPr="004658EB">
        <w:rPr>
          <w:position w:val="-32"/>
        </w:rPr>
        <w:object w:dxaOrig="34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1" type="#_x0000_t75" style="width:172pt;height:39pt" o:ole="">
            <v:imagedata r:id="rId9" o:title=""/>
          </v:shape>
          <o:OLEObject Type="Embed" ProgID="Equation.DSMT4" ShapeID="_x0000_i1341" DrawAspect="Content" ObjectID="_1648358406" r:id="rId10"/>
        </w:object>
      </w:r>
      <w:r>
        <w:tab/>
        <w:t>(1.1)</w:t>
      </w:r>
    </w:p>
    <w:p w:rsidR="008F3294" w:rsidRDefault="008F3294" w:rsidP="008F3294">
      <w:r>
        <w:t>Enquanto que o sensor ótico estabelece que:</w:t>
      </w:r>
    </w:p>
    <w:p w:rsidR="008F3294" w:rsidRDefault="008F3294" w:rsidP="00405451">
      <w:pPr>
        <w:pStyle w:val="Equation"/>
      </w:pPr>
      <w:r>
        <w:tab/>
        <w:t xml:space="preserve"> </w:t>
      </w:r>
      <w:r w:rsidRPr="002974CD">
        <w:object w:dxaOrig="1320" w:dyaOrig="360">
          <v:shape id="_x0000_i1273" type="#_x0000_t75" style="width:66pt;height:18pt" o:ole="">
            <v:imagedata r:id="rId11" o:title=""/>
          </v:shape>
          <o:OLEObject Type="Embed" ProgID="Equation.DSMT4" ShapeID="_x0000_i1273" DrawAspect="Content" ObjectID="_1648358407" r:id="rId12"/>
        </w:object>
      </w:r>
      <w:r>
        <w:t xml:space="preserve"> </w:t>
      </w:r>
      <w:r>
        <w:tab/>
        <w:t>(1.2)</w:t>
      </w:r>
    </w:p>
    <w:p w:rsidR="008F3294" w:rsidRDefault="008F3294" w:rsidP="008F3294">
      <w:r>
        <w:t>Definindo:</w:t>
      </w:r>
    </w:p>
    <w:p w:rsidR="008F3294" w:rsidRDefault="008F3294" w:rsidP="00405451">
      <w:pPr>
        <w:pStyle w:val="Equation"/>
      </w:pPr>
      <w:r>
        <w:tab/>
        <w:t xml:space="preserve"> </w:t>
      </w:r>
      <w:r w:rsidRPr="002974CD">
        <w:object w:dxaOrig="1300" w:dyaOrig="360">
          <v:shape id="_x0000_i1274" type="#_x0000_t75" style="width:65pt;height:18pt" o:ole="">
            <v:imagedata r:id="rId13" o:title=""/>
          </v:shape>
          <o:OLEObject Type="Embed" ProgID="Equation.DSMT4" ShapeID="_x0000_i1274" DrawAspect="Content" ObjectID="_1648358408" r:id="rId14"/>
        </w:object>
      </w:r>
      <w:r>
        <w:t xml:space="preserve"> </w:t>
      </w:r>
      <w:r>
        <w:tab/>
        <w:t>(1.3)</w:t>
      </w:r>
    </w:p>
    <w:p w:rsidR="008F3294" w:rsidRDefault="008F3294" w:rsidP="00405451">
      <w:pPr>
        <w:pStyle w:val="Equation"/>
      </w:pPr>
      <w:r>
        <w:tab/>
        <w:t xml:space="preserve"> </w:t>
      </w:r>
      <w:r w:rsidRPr="002974CD">
        <w:object w:dxaOrig="1320" w:dyaOrig="360">
          <v:shape id="_x0000_i1275" type="#_x0000_t75" style="width:66pt;height:18pt" o:ole="">
            <v:imagedata r:id="rId15" o:title=""/>
          </v:shape>
          <o:OLEObject Type="Embed" ProgID="Equation.DSMT4" ShapeID="_x0000_i1275" DrawAspect="Content" ObjectID="_1648358409" r:id="rId16"/>
        </w:object>
      </w:r>
      <w:r>
        <w:t xml:space="preserve"> </w:t>
      </w:r>
      <w:r>
        <w:tab/>
        <w:t>(1.4)</w:t>
      </w:r>
    </w:p>
    <w:p w:rsidR="008F3294" w:rsidRDefault="008F3294" w:rsidP="008F3294">
      <w:r>
        <w:t xml:space="preserve">Substituindo </w:t>
      </w:r>
      <w:proofErr w:type="spellStart"/>
      <w:r>
        <w:t>Eqs</w:t>
      </w:r>
      <w:proofErr w:type="spellEnd"/>
      <w:r>
        <w:t>. (1.3) e (1.4) na Eq. (1.1):</w:t>
      </w:r>
    </w:p>
    <w:p w:rsidR="008F3294" w:rsidRDefault="008F3294" w:rsidP="00405451">
      <w:pPr>
        <w:pStyle w:val="Equation"/>
      </w:pPr>
      <w:r>
        <w:tab/>
        <w:t xml:space="preserve"> </w:t>
      </w:r>
      <w:r w:rsidR="00217352" w:rsidRPr="00217352">
        <w:rPr>
          <w:position w:val="-14"/>
        </w:rPr>
        <w:object w:dxaOrig="3420" w:dyaOrig="400">
          <v:shape id="_x0000_i1363" type="#_x0000_t75" style="width:171pt;height:20pt" o:ole="">
            <v:imagedata r:id="rId17" o:title=""/>
          </v:shape>
          <o:OLEObject Type="Embed" ProgID="Equation.DSMT4" ShapeID="_x0000_i1363" DrawAspect="Content" ObjectID="_1648358410" r:id="rId18"/>
        </w:object>
      </w:r>
      <w:r>
        <w:t xml:space="preserve">, </w:t>
      </w:r>
      <w:r>
        <w:tab/>
        <w:t>(1.5)</w:t>
      </w:r>
    </w:p>
    <w:p w:rsidR="008F3294" w:rsidRDefault="008F3294" w:rsidP="008F3294">
      <w:r>
        <w:t>Dividindo Eq.(1.5) por (</w:t>
      </w:r>
      <w:r w:rsidR="00542AC0">
        <w:sym w:font="Symbol" w:char="F072"/>
      </w:r>
      <w:r w:rsidRPr="00217352">
        <w:rPr>
          <w:vertAlign w:val="subscript"/>
        </w:rPr>
        <w:t>w</w:t>
      </w:r>
      <w:r>
        <w:t>.g.L</w:t>
      </w:r>
      <w:r w:rsidR="00217352" w:rsidRPr="00217352">
        <w:rPr>
          <w:vertAlign w:val="subscript"/>
        </w:rPr>
        <w:t>T</w:t>
      </w:r>
      <w:r>
        <w:t>) e agrupando os termos semelhantes:</w:t>
      </w:r>
    </w:p>
    <w:p w:rsidR="008F3294" w:rsidRDefault="008F3294" w:rsidP="00405451">
      <w:pPr>
        <w:pStyle w:val="Equation"/>
      </w:pPr>
      <w:r>
        <w:tab/>
      </w:r>
      <w:r w:rsidR="00217352" w:rsidRPr="00217352">
        <w:rPr>
          <w:position w:val="-32"/>
        </w:rPr>
        <w:object w:dxaOrig="4700" w:dyaOrig="760">
          <v:shape id="_x0000_i1365" type="#_x0000_t75" style="width:235pt;height:38pt" o:ole="">
            <v:imagedata r:id="rId19" o:title=""/>
          </v:shape>
          <o:OLEObject Type="Embed" ProgID="Equation.DSMT4" ShapeID="_x0000_i1365" DrawAspect="Content" ObjectID="_1648358411" r:id="rId20"/>
        </w:object>
      </w:r>
      <w:r>
        <w:t>,</w:t>
      </w:r>
      <w:r>
        <w:tab/>
        <w:t>(1.6)</w:t>
      </w:r>
    </w:p>
    <w:p w:rsidR="008F3294" w:rsidRDefault="008F3294" w:rsidP="008F3294">
      <w:r>
        <w:t xml:space="preserve">note que a razão 0 </w:t>
      </w:r>
      <w:r>
        <w:sym w:font="Symbol" w:char="F0A3"/>
      </w:r>
      <w:r>
        <w:t xml:space="preserve"> (</w:t>
      </w:r>
      <w:r>
        <w:sym w:font="Symbol" w:char="F044"/>
      </w:r>
      <w:r>
        <w:t>P/</w:t>
      </w:r>
      <w:r>
        <w:sym w:font="Symbol" w:char="F072"/>
      </w:r>
      <w:r w:rsidRPr="00C101C3">
        <w:rPr>
          <w:vertAlign w:val="subscript"/>
        </w:rPr>
        <w:t>w</w:t>
      </w:r>
      <w:r>
        <w:t>.g.L</w:t>
      </w:r>
      <w:r w:rsidRPr="00C101C3">
        <w:rPr>
          <w:vertAlign w:val="subscript"/>
        </w:rPr>
        <w:t>T</w:t>
      </w:r>
      <w:r>
        <w:t xml:space="preserve"> ) </w:t>
      </w:r>
      <w:r>
        <w:sym w:font="Symbol" w:char="F0A3"/>
      </w:r>
      <w:r>
        <w:t>1,</w:t>
      </w:r>
    </w:p>
    <w:p w:rsidR="008F3294" w:rsidRDefault="008F3294" w:rsidP="008F3294">
      <w:r>
        <w:t xml:space="preserve">Definindo o </w:t>
      </w:r>
      <w:proofErr w:type="spellStart"/>
      <w:r>
        <w:t>holdup</w:t>
      </w:r>
      <w:proofErr w:type="spellEnd"/>
      <w:r>
        <w:t xml:space="preserve"> de querosene e o da fase líquida como </w:t>
      </w:r>
      <w:proofErr w:type="spellStart"/>
      <w:r>
        <w:t>H</w:t>
      </w:r>
      <w:r w:rsidRPr="00FF7DA9">
        <w:rPr>
          <w:vertAlign w:val="subscript"/>
        </w:rPr>
        <w:t>k</w:t>
      </w:r>
      <w:proofErr w:type="spellEnd"/>
      <w:r>
        <w:t xml:space="preserve"> = </w:t>
      </w:r>
      <w:proofErr w:type="spellStart"/>
      <w:r>
        <w:t>L</w:t>
      </w:r>
      <w:r w:rsidRPr="00FF7DA9">
        <w:rPr>
          <w:vertAlign w:val="subscript"/>
        </w:rPr>
        <w:t>k</w:t>
      </w:r>
      <w:proofErr w:type="spellEnd"/>
      <w:r>
        <w:t>/L</w:t>
      </w:r>
      <w:r w:rsidRPr="00FF7DA9">
        <w:rPr>
          <w:vertAlign w:val="subscript"/>
        </w:rPr>
        <w:t>T</w:t>
      </w:r>
      <w:r>
        <w:t xml:space="preserve"> e H</w:t>
      </w:r>
      <w:r w:rsidRPr="00FF7DA9">
        <w:rPr>
          <w:vertAlign w:val="subscript"/>
        </w:rPr>
        <w:t>L</w:t>
      </w:r>
      <w:r>
        <w:t xml:space="preserve"> = L</w:t>
      </w:r>
      <w:r w:rsidRPr="00FF7DA9">
        <w:rPr>
          <w:vertAlign w:val="subscript"/>
        </w:rPr>
        <w:t>L</w:t>
      </w:r>
      <w:r>
        <w:t>/L</w:t>
      </w:r>
      <w:r w:rsidRPr="00FF7DA9">
        <w:rPr>
          <w:vertAlign w:val="subscript"/>
        </w:rPr>
        <w:t>T</w:t>
      </w:r>
      <w:r>
        <w:t xml:space="preserve"> a </w:t>
      </w:r>
      <w:proofErr w:type="gramStart"/>
      <w:r>
        <w:t>Eq.(</w:t>
      </w:r>
      <w:proofErr w:type="gramEnd"/>
      <w:r>
        <w:t>1.6) passa a ser:</w:t>
      </w:r>
    </w:p>
    <w:p w:rsidR="008F3294" w:rsidRDefault="008F3294" w:rsidP="00405451">
      <w:pPr>
        <w:pStyle w:val="Equation"/>
      </w:pPr>
      <w:r>
        <w:tab/>
      </w:r>
      <w:r w:rsidR="00217352" w:rsidRPr="00217352">
        <w:rPr>
          <w:position w:val="-32"/>
        </w:rPr>
        <w:object w:dxaOrig="4480" w:dyaOrig="760">
          <v:shape id="_x0000_i1367" type="#_x0000_t75" style="width:224pt;height:38pt" o:ole="">
            <v:imagedata r:id="rId21" o:title=""/>
          </v:shape>
          <o:OLEObject Type="Embed" ProgID="Equation.DSMT4" ShapeID="_x0000_i1367" DrawAspect="Content" ObjectID="_1648358412" r:id="rId22"/>
        </w:object>
      </w:r>
      <w:r>
        <w:t>.</w:t>
      </w:r>
      <w:r>
        <w:tab/>
        <w:t>(1.7)</w:t>
      </w:r>
    </w:p>
    <w:p w:rsidR="008F3294" w:rsidRDefault="008F3294" w:rsidP="008F3294">
      <w:r>
        <w:tab/>
        <w:t xml:space="preserve">Isolando </w:t>
      </w:r>
      <w:proofErr w:type="spellStart"/>
      <w:r>
        <w:t>H</w:t>
      </w:r>
      <w:r w:rsidRPr="00AB1507">
        <w:rPr>
          <w:vertAlign w:val="subscript"/>
        </w:rPr>
        <w:t>k</w:t>
      </w:r>
      <w:proofErr w:type="spellEnd"/>
      <w:r>
        <w:t xml:space="preserve"> da expressão chega-se a:</w:t>
      </w:r>
    </w:p>
    <w:p w:rsidR="008F3294" w:rsidRDefault="00E043A9" w:rsidP="00405451">
      <w:pPr>
        <w:pStyle w:val="Equation"/>
      </w:pPr>
      <w:r>
        <w:tab/>
      </w:r>
      <w:r w:rsidR="00217352" w:rsidRPr="00217352">
        <w:rPr>
          <w:position w:val="-30"/>
        </w:rPr>
        <w:object w:dxaOrig="3360" w:dyaOrig="720">
          <v:shape id="_x0000_i1369" type="#_x0000_t75" style="width:168pt;height:36pt" o:ole="">
            <v:imagedata r:id="rId23" o:title=""/>
          </v:shape>
          <o:OLEObject Type="Embed" ProgID="Equation.DSMT4" ShapeID="_x0000_i1369" DrawAspect="Content" ObjectID="_1648358413" r:id="rId24"/>
        </w:object>
      </w:r>
      <w:r w:rsidR="008F3294">
        <w:t xml:space="preserve"> </w:t>
      </w:r>
      <w:r w:rsidR="008F3294">
        <w:tab/>
        <w:t>(1.8)</w:t>
      </w:r>
    </w:p>
    <w:p w:rsidR="00E043A9" w:rsidRDefault="00E043A9" w:rsidP="00E043A9">
      <w:r>
        <w:t>Na equação acima fica claro a contribuição do sensor ótico que determina H</w:t>
      </w:r>
      <w:r w:rsidRPr="000D2D18">
        <w:rPr>
          <w:vertAlign w:val="subscript"/>
        </w:rPr>
        <w:t>L</w:t>
      </w:r>
      <w:r>
        <w:t xml:space="preserve"> e dos medidores de pressão 1 e 2 na determinação do </w:t>
      </w:r>
      <w:proofErr w:type="spellStart"/>
      <w:r>
        <w:t>holdup</w:t>
      </w:r>
      <w:proofErr w:type="spellEnd"/>
      <w:r>
        <w:t xml:space="preserve"> do querosene.</w:t>
      </w:r>
    </w:p>
    <w:p w:rsidR="000D2D18" w:rsidRDefault="008F3294" w:rsidP="000D2D18">
      <w:pPr>
        <w:pStyle w:val="Equation"/>
        <w:jc w:val="both"/>
      </w:pPr>
      <w:r>
        <w:t>O</w:t>
      </w:r>
      <w:r w:rsidR="000D2D18">
        <w:t>s</w:t>
      </w:r>
      <w:r>
        <w:t xml:space="preserve"> transmissor</w:t>
      </w:r>
      <w:r w:rsidR="000D2D18">
        <w:t>es</w:t>
      </w:r>
      <w:r>
        <w:t xml:space="preserve"> de pressão est</w:t>
      </w:r>
      <w:r w:rsidR="000D2D18">
        <w:t>ão</w:t>
      </w:r>
      <w:r>
        <w:t xml:space="preserve"> configurado</w:t>
      </w:r>
      <w:r w:rsidR="000D2D18">
        <w:t>s</w:t>
      </w:r>
      <w:r>
        <w:t xml:space="preserve"> para expressar o P em mmH2O. </w:t>
      </w:r>
      <w:r w:rsidR="000D2D18">
        <w:t>A medida de pressão do 2º medidor corresponde a LP2. Propomos usar um LP médio que vem da média das pressões P</w:t>
      </w:r>
      <w:r w:rsidR="000D2D18" w:rsidRPr="000D2D18">
        <w:rPr>
          <w:vertAlign w:val="subscript"/>
        </w:rPr>
        <w:t>1</w:t>
      </w:r>
      <w:r w:rsidR="000D2D18">
        <w:t xml:space="preserve"> e P</w:t>
      </w:r>
      <w:r w:rsidR="000D2D18" w:rsidRPr="000D2D18">
        <w:rPr>
          <w:vertAlign w:val="subscript"/>
        </w:rPr>
        <w:t>2</w:t>
      </w:r>
      <w:r w:rsidR="000D2D18">
        <w:t>. PM</w:t>
      </w:r>
    </w:p>
    <w:p w:rsidR="008F3294" w:rsidRDefault="008F3294" w:rsidP="008F3294">
      <w:r>
        <w:lastRenderedPageBreak/>
        <w:t>A coluna de água medido pelo transmissor de pressão é L</w:t>
      </w:r>
      <w:r w:rsidR="00E043A9" w:rsidRPr="00E043A9">
        <w:rPr>
          <w:vertAlign w:val="subscript"/>
        </w:rPr>
        <w:t>P</w:t>
      </w:r>
      <w:r>
        <w:t xml:space="preserve">, assim podemos simplificar a </w:t>
      </w:r>
      <w:proofErr w:type="gramStart"/>
      <w:r>
        <w:t>Eq.(</w:t>
      </w:r>
      <w:proofErr w:type="gramEnd"/>
      <w:r>
        <w:t>1.8) para:</w:t>
      </w:r>
    </w:p>
    <w:p w:rsidR="008F3294" w:rsidRDefault="008F3294" w:rsidP="00405451">
      <w:pPr>
        <w:pStyle w:val="Equation"/>
      </w:pPr>
      <w:r>
        <w:tab/>
        <w:t xml:space="preserve"> </w:t>
      </w:r>
      <w:r w:rsidR="000D2D18" w:rsidRPr="00E043A9">
        <w:rPr>
          <w:position w:val="-32"/>
        </w:rPr>
        <w:object w:dxaOrig="5400" w:dyaOrig="740">
          <v:shape id="_x0000_i1377" type="#_x0000_t75" style="width:270pt;height:37pt" o:ole="">
            <v:imagedata r:id="rId25" o:title=""/>
          </v:shape>
          <o:OLEObject Type="Embed" ProgID="Equation.DSMT4" ShapeID="_x0000_i1377" DrawAspect="Content" ObjectID="_1648358414" r:id="rId26"/>
        </w:object>
      </w:r>
      <w:r>
        <w:t xml:space="preserve"> </w:t>
      </w:r>
      <w:r>
        <w:tab/>
        <w:t>(1.9)</w:t>
      </w:r>
    </w:p>
    <w:p w:rsidR="000D2D18" w:rsidRDefault="000D2D18" w:rsidP="000D2D18">
      <w:pPr>
        <w:pStyle w:val="Equation"/>
        <w:jc w:val="both"/>
      </w:pPr>
      <w:r>
        <w:t>Vale observar que HL &gt; L</w:t>
      </w:r>
      <w:r w:rsidRPr="000D2D18">
        <w:rPr>
          <w:vertAlign w:val="subscript"/>
        </w:rPr>
        <w:t>PM</w:t>
      </w:r>
      <w:r>
        <w:t>/L</w:t>
      </w:r>
      <w:r w:rsidRPr="000D2D18">
        <w:rPr>
          <w:vertAlign w:val="subscript"/>
        </w:rPr>
        <w:t>T</w:t>
      </w:r>
      <w:r>
        <w:t xml:space="preserve"> porque a altura equivalente de água e querosene é sempre menor que a altura da coluna de água e querosene porque a densidade do querosene é menor que a densidade da água.</w:t>
      </w:r>
    </w:p>
    <w:p w:rsidR="008F3294" w:rsidRDefault="008F3294" w:rsidP="008F3294">
      <w:r>
        <w:t xml:space="preserve">O </w:t>
      </w:r>
      <w:proofErr w:type="spellStart"/>
      <w:r>
        <w:t>holdup</w:t>
      </w:r>
      <w:proofErr w:type="spellEnd"/>
      <w:r>
        <w:t xml:space="preserve"> da fase água é:</w:t>
      </w:r>
    </w:p>
    <w:p w:rsidR="008F3294" w:rsidRDefault="008F3294" w:rsidP="00405451">
      <w:pPr>
        <w:pStyle w:val="Equation"/>
      </w:pPr>
      <w:r>
        <w:tab/>
        <w:t xml:space="preserve"> </w:t>
      </w:r>
      <w:r w:rsidR="00977B47" w:rsidRPr="00977B47">
        <w:rPr>
          <w:position w:val="-30"/>
        </w:rPr>
        <w:object w:dxaOrig="3640" w:dyaOrig="680">
          <v:shape id="_x0000_i1320" type="#_x0000_t75" style="width:182pt;height:34pt" o:ole="">
            <v:imagedata r:id="rId27" o:title=""/>
          </v:shape>
          <o:OLEObject Type="Embed" ProgID="Equation.DSMT4" ShapeID="_x0000_i1320" DrawAspect="Content" ObjectID="_1648358415" r:id="rId28"/>
        </w:object>
      </w:r>
      <w:r>
        <w:t xml:space="preserve"> </w:t>
      </w:r>
      <w:r w:rsidR="00405451">
        <w:t>.</w:t>
      </w:r>
      <w:r>
        <w:tab/>
        <w:t>(1.10)</w:t>
      </w:r>
    </w:p>
    <w:p w:rsidR="008F3294" w:rsidRDefault="008F3294" w:rsidP="008F3294">
      <w:r>
        <w:t xml:space="preserve">O </w:t>
      </w:r>
      <w:proofErr w:type="spellStart"/>
      <w:r>
        <w:t>holdup</w:t>
      </w:r>
      <w:proofErr w:type="spellEnd"/>
      <w:r>
        <w:t xml:space="preserve"> da fase ar é:</w:t>
      </w:r>
    </w:p>
    <w:p w:rsidR="008F3294" w:rsidRDefault="008F3294" w:rsidP="00405451">
      <w:pPr>
        <w:pStyle w:val="Equation"/>
      </w:pPr>
      <w:r>
        <w:tab/>
        <w:t xml:space="preserve"> </w:t>
      </w:r>
      <w:r w:rsidR="00405451" w:rsidRPr="00FE21A8">
        <w:object w:dxaOrig="1160" w:dyaOrig="360">
          <v:shape id="_x0000_i1329" type="#_x0000_t75" style="width:58pt;height:18pt" o:ole="">
            <v:imagedata r:id="rId29" o:title=""/>
          </v:shape>
          <o:OLEObject Type="Embed" ProgID="Equation.DSMT4" ShapeID="_x0000_i1329" DrawAspect="Content" ObjectID="_1648358416" r:id="rId30"/>
        </w:object>
      </w:r>
      <w:r>
        <w:t xml:space="preserve"> </w:t>
      </w:r>
      <w:r>
        <w:tab/>
        <w:t>(1.11)</w:t>
      </w:r>
    </w:p>
    <w:p w:rsidR="008F3294" w:rsidRDefault="008F3294" w:rsidP="008F3294">
      <w:r>
        <w:t>Alternativamente podemos deter</w:t>
      </w:r>
      <w:r w:rsidR="00EF4A98">
        <w:t xml:space="preserve">minar a altura das colunas. </w:t>
      </w:r>
      <w:r>
        <w:t xml:space="preserve">Substituindo as </w:t>
      </w:r>
      <w:proofErr w:type="spellStart"/>
      <w:r>
        <w:t>Eqs</w:t>
      </w:r>
      <w:proofErr w:type="spellEnd"/>
      <w:r>
        <w:t>. (1.10) e (1.11) pode-se reescrever a Eq. (1.12) por:</w:t>
      </w:r>
    </w:p>
    <w:p w:rsidR="008F3294" w:rsidRDefault="008F3294" w:rsidP="00405451">
      <w:pPr>
        <w:pStyle w:val="Equation"/>
      </w:pPr>
      <w:r>
        <w:tab/>
        <w:t xml:space="preserve"> </w:t>
      </w:r>
      <w:r w:rsidR="00467060" w:rsidRPr="00467060">
        <w:rPr>
          <w:position w:val="-48"/>
        </w:rPr>
        <w:object w:dxaOrig="1640" w:dyaOrig="1120">
          <v:shape id="_x0000_i1331" type="#_x0000_t75" style="width:82pt;height:56pt" o:ole="">
            <v:imagedata r:id="rId31" o:title=""/>
          </v:shape>
          <o:OLEObject Type="Embed" ProgID="Equation.DSMT4" ShapeID="_x0000_i1331" DrawAspect="Content" ObjectID="_1648358417" r:id="rId32"/>
        </w:object>
      </w:r>
      <w:r>
        <w:t xml:space="preserve"> </w:t>
      </w:r>
      <w:r>
        <w:tab/>
        <w:t>(1.1</w:t>
      </w:r>
      <w:r w:rsidR="00EF4A98">
        <w:t>2</w:t>
      </w:r>
      <w:r>
        <w:t>)</w:t>
      </w:r>
    </w:p>
    <w:p w:rsidR="008F3294" w:rsidRDefault="008F3294" w:rsidP="00405451">
      <w:pPr>
        <w:ind w:firstLine="708"/>
      </w:pPr>
      <w:r>
        <w:t xml:space="preserve">A vantagem do uso de um medidor de pressão é o fato que não é necessário aguardar um tempo necessário para que gotas de água no querosene precipitem nem tão pouco que gotas de querosene na água migrem para o querosene. </w:t>
      </w:r>
    </w:p>
    <w:p w:rsidR="00405451" w:rsidRDefault="00405451" w:rsidP="00995833">
      <w:pPr>
        <w:pStyle w:val="Heading2"/>
      </w:pPr>
      <w:r>
        <w:t>O transmissor de pressão</w:t>
      </w:r>
    </w:p>
    <w:p w:rsidR="00405451" w:rsidRDefault="00405451" w:rsidP="008F3294">
      <w:r>
        <w:t xml:space="preserve">Haverá dois medidores de pressão na base do medidor de </w:t>
      </w:r>
      <w:proofErr w:type="spellStart"/>
      <w:r>
        <w:t>holdup</w:t>
      </w:r>
      <w:proofErr w:type="spellEnd"/>
      <w:r>
        <w:t xml:space="preserve">. Precisamos de uma redundância para checar se as medidas de </w:t>
      </w:r>
      <w:proofErr w:type="spellStart"/>
      <w:r>
        <w:t>holdup</w:t>
      </w:r>
      <w:proofErr w:type="spellEnd"/>
      <w:r>
        <w:t xml:space="preserve"> estão consistentes. </w:t>
      </w:r>
    </w:p>
    <w:p w:rsidR="00405451" w:rsidRDefault="00405451" w:rsidP="008F3294">
      <w:r>
        <w:t>Cada medidor será calibrado no zero veja a figura do começo do texto.</w:t>
      </w:r>
    </w:p>
    <w:p w:rsidR="00405451" w:rsidRDefault="00405451" w:rsidP="008F3294">
      <w:r>
        <w:t xml:space="preserve">A medida de pressão será dada em mm de água (mmH2O equivalente). </w:t>
      </w:r>
      <w:r w:rsidR="00600F96">
        <w:t>Com o tubo central cheio de água vamos definir o zero mmH2O. Podemos definir que o valor superior é de 2000 mmH2O.</w:t>
      </w:r>
    </w:p>
    <w:p w:rsidR="00405451" w:rsidRDefault="00923424" w:rsidP="008F3294">
      <w:r>
        <w:t xml:space="preserve">As equações dos dois transmissores de pressão são idênticas, </w:t>
      </w:r>
    </w:p>
    <w:p w:rsidR="00923424" w:rsidRDefault="00995833" w:rsidP="00895DCE">
      <w:pPr>
        <w:pStyle w:val="Equation"/>
      </w:pPr>
      <w:r>
        <w:tab/>
      </w:r>
      <w:r w:rsidR="00895DCE" w:rsidRPr="00995833">
        <w:object w:dxaOrig="3300" w:dyaOrig="580">
          <v:shape id="_x0000_i1307" type="#_x0000_t75" style="width:165pt;height:29pt" o:ole="">
            <v:imagedata r:id="rId33" o:title=""/>
          </v:shape>
          <o:OLEObject Type="Embed" ProgID="Equation.DSMT4" ShapeID="_x0000_i1307" DrawAspect="Content" ObjectID="_1648358418" r:id="rId34"/>
        </w:object>
      </w:r>
      <w:r w:rsidR="00475125">
        <w:t xml:space="preserve"> </w:t>
      </w:r>
      <w:r>
        <w:tab/>
        <w:t>(1.1</w:t>
      </w:r>
      <w:r w:rsidR="00EF4A98">
        <w:t>3</w:t>
      </w:r>
      <w:r>
        <w:t>)</w:t>
      </w:r>
    </w:p>
    <w:p w:rsidR="00DB7143" w:rsidRDefault="00DB7143" w:rsidP="00895DCE">
      <w:pPr>
        <w:pStyle w:val="Equation"/>
      </w:pPr>
    </w:p>
    <w:p w:rsidR="00DB7143" w:rsidRDefault="00DB7143" w:rsidP="00861985">
      <w:pPr>
        <w:pStyle w:val="Heading2"/>
      </w:pPr>
      <w:r>
        <w:t xml:space="preserve">Transmissão de pressão </w:t>
      </w:r>
      <w:r w:rsidR="00805E33">
        <w:t>versus</w:t>
      </w:r>
      <w:r>
        <w:t xml:space="preserve"> </w:t>
      </w:r>
      <w:r w:rsidR="00805E33">
        <w:t>s</w:t>
      </w:r>
      <w:r>
        <w:t xml:space="preserve">ensor </w:t>
      </w:r>
      <w:r w:rsidR="00805E33">
        <w:t>ó</w:t>
      </w:r>
      <w:r>
        <w:t>tico</w:t>
      </w:r>
    </w:p>
    <w:p w:rsidR="00861985" w:rsidRDefault="00DB7143" w:rsidP="00DB7143">
      <w:pPr>
        <w:pStyle w:val="Equation"/>
        <w:jc w:val="both"/>
      </w:pPr>
      <w:r>
        <w:t xml:space="preserve">A medida de pressão apenas não é capaz de </w:t>
      </w:r>
      <w:r w:rsidR="00861985">
        <w:t xml:space="preserve">estimar os </w:t>
      </w:r>
      <w:proofErr w:type="spellStart"/>
      <w:r w:rsidR="00861985">
        <w:t>holdups</w:t>
      </w:r>
      <w:proofErr w:type="spellEnd"/>
      <w:r w:rsidR="00861985">
        <w:t xml:space="preserve"> das fases que desejamos. Por outro lado, o sensor ótico é capaz de medir estaticamente as alturas de água e </w:t>
      </w:r>
      <w:r w:rsidR="00861985">
        <w:lastRenderedPageBreak/>
        <w:t xml:space="preserve">querosene. Porém, em situação de escoamento as fases água e querosene estão misturadas. Com o fechamento das válvulas temos uma situação estática, mas precisa de um tempo de minutos para separar o querosene da água. No entanto, a interface ar/querosene é definida em 120 segundos possibilitando calcular com precisão a altura mesmo que a coluna de água não tenha separado da coluna de querosene. O medidor de pressão entre nesta etapa. Conhecendo a densidade do querosene é possível estabelecer os </w:t>
      </w:r>
      <w:proofErr w:type="spellStart"/>
      <w:r w:rsidR="00861985">
        <w:t>holdups</w:t>
      </w:r>
      <w:proofErr w:type="spellEnd"/>
      <w:r w:rsidR="00861985">
        <w:t xml:space="preserve"> das fases. Este procedimento está relatado no início deste documento. </w:t>
      </w:r>
    </w:p>
    <w:p w:rsidR="00861985" w:rsidRDefault="00861985" w:rsidP="00DB7143">
      <w:pPr>
        <w:pStyle w:val="Equation"/>
        <w:jc w:val="both"/>
      </w:pPr>
    </w:p>
    <w:p w:rsidR="00E82D83" w:rsidRDefault="00FA353A" w:rsidP="00FA353A">
      <w:pPr>
        <w:pStyle w:val="Heading2"/>
      </w:pPr>
      <w:r>
        <w:t xml:space="preserve">Cálculos e variáveis para </w:t>
      </w:r>
      <w:r w:rsidR="00995833">
        <w:t>serem implantados</w:t>
      </w:r>
      <w:r>
        <w:t xml:space="preserve"> e armazenados</w:t>
      </w:r>
      <w:r w:rsidR="00995833">
        <w:t xml:space="preserve"> no </w:t>
      </w:r>
      <w:proofErr w:type="spellStart"/>
      <w:r w:rsidR="00995833">
        <w:t>LabView</w:t>
      </w:r>
      <w:proofErr w:type="spellEnd"/>
    </w:p>
    <w:p w:rsidR="00FA353A" w:rsidRPr="00FA353A" w:rsidRDefault="00FA353A" w:rsidP="00FA353A"/>
    <w:p w:rsidR="00E82D83" w:rsidRPr="00E82D83" w:rsidRDefault="00ED1BD5" w:rsidP="00E82D83">
      <w:r>
        <w:t xml:space="preserve">1- </w:t>
      </w:r>
      <w:r w:rsidRPr="00ED1BD5">
        <w:t xml:space="preserve"> </w:t>
      </w:r>
      <w:r w:rsidR="00E82D83" w:rsidRPr="00ED1BD5">
        <w:t xml:space="preserve">Constantes do medidor de </w:t>
      </w:r>
      <w:proofErr w:type="spellStart"/>
      <w:r w:rsidR="00E82D83" w:rsidRPr="00ED1BD5">
        <w:t>holdup</w:t>
      </w:r>
      <w:proofErr w:type="spellEnd"/>
    </w:p>
    <w:p w:rsidR="00E82D83" w:rsidRPr="00E82D83" w:rsidRDefault="00E82D83" w:rsidP="00E82D83">
      <w:pPr>
        <w:pStyle w:val="Caption"/>
      </w:pPr>
      <w:bookmarkStart w:id="0" w:name="_Ref37689758"/>
      <w:r w:rsidRPr="00E82D83">
        <w:t xml:space="preserve">Tabela </w:t>
      </w:r>
      <w:fldSimple w:instr=" SEQ Tabela \* ARABIC ">
        <w:r w:rsidR="00F60C40">
          <w:rPr>
            <w:noProof/>
          </w:rPr>
          <w:t>1</w:t>
        </w:r>
      </w:fldSimple>
      <w:bookmarkEnd w:id="0"/>
      <w:r w:rsidRPr="00E82D83">
        <w:t xml:space="preserve"> – Constantes do medidor de </w:t>
      </w:r>
      <w:proofErr w:type="spellStart"/>
      <w:r w:rsidRPr="00E82D83">
        <w:t>holdup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2831"/>
        <w:gridCol w:w="1296"/>
        <w:gridCol w:w="1296"/>
      </w:tblGrid>
      <w:tr w:rsidR="00E82D83" w:rsidTr="00E82D83">
        <w:trPr>
          <w:jc w:val="center"/>
        </w:trPr>
        <w:tc>
          <w:tcPr>
            <w:tcW w:w="1296" w:type="dxa"/>
          </w:tcPr>
          <w:p w:rsidR="00E82D83" w:rsidRDefault="00E82D83" w:rsidP="00995833">
            <w:r>
              <w:t>Variável</w:t>
            </w:r>
          </w:p>
        </w:tc>
        <w:tc>
          <w:tcPr>
            <w:tcW w:w="2831" w:type="dxa"/>
          </w:tcPr>
          <w:p w:rsidR="00E82D83" w:rsidRDefault="00E82D83" w:rsidP="00995833">
            <w:r>
              <w:t>Descrição</w:t>
            </w:r>
          </w:p>
        </w:tc>
        <w:tc>
          <w:tcPr>
            <w:tcW w:w="1296" w:type="dxa"/>
          </w:tcPr>
          <w:p w:rsidR="00E82D83" w:rsidRDefault="00E82D83" w:rsidP="00995833">
            <w:r>
              <w:t>Unidade</w:t>
            </w:r>
          </w:p>
        </w:tc>
        <w:tc>
          <w:tcPr>
            <w:tcW w:w="1296" w:type="dxa"/>
          </w:tcPr>
          <w:p w:rsidR="00E82D83" w:rsidRDefault="00E82D83" w:rsidP="00995833">
            <w:r>
              <w:t>Valor</w:t>
            </w:r>
          </w:p>
        </w:tc>
      </w:tr>
      <w:tr w:rsidR="00E82D83" w:rsidTr="00E82D83">
        <w:trPr>
          <w:jc w:val="center"/>
        </w:trPr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L</w:t>
            </w:r>
            <w:r w:rsidRPr="00E82D83">
              <w:rPr>
                <w:vertAlign w:val="subscript"/>
              </w:rPr>
              <w:t>T</w:t>
            </w:r>
          </w:p>
        </w:tc>
        <w:tc>
          <w:tcPr>
            <w:tcW w:w="2831" w:type="dxa"/>
            <w:vAlign w:val="center"/>
          </w:tcPr>
          <w:p w:rsidR="00E82D83" w:rsidRDefault="00E82D83" w:rsidP="00E82D83">
            <w:pPr>
              <w:jc w:val="left"/>
            </w:pPr>
            <w:r>
              <w:t>Comprimento total coluna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mm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a definir</w:t>
            </w:r>
          </w:p>
        </w:tc>
      </w:tr>
      <w:tr w:rsidR="00E82D83" w:rsidTr="00E82D83">
        <w:trPr>
          <w:jc w:val="center"/>
        </w:trPr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 w:rsidRPr="00995833">
              <w:t>L</w:t>
            </w:r>
            <w:r w:rsidRPr="00E82D83">
              <w:rPr>
                <w:vertAlign w:val="subscript"/>
              </w:rPr>
              <w:t>TS</w:t>
            </w:r>
          </w:p>
        </w:tc>
        <w:tc>
          <w:tcPr>
            <w:tcW w:w="2831" w:type="dxa"/>
            <w:vAlign w:val="center"/>
          </w:tcPr>
          <w:p w:rsidR="00E82D83" w:rsidRDefault="00E82D83" w:rsidP="00E82D83">
            <w:pPr>
              <w:jc w:val="left"/>
            </w:pPr>
            <w:r>
              <w:t>Coluna de ar acima TPS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mm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a definir</w:t>
            </w:r>
          </w:p>
        </w:tc>
      </w:tr>
      <w:tr w:rsidR="00E82D83" w:rsidTr="00E82D83">
        <w:trPr>
          <w:jc w:val="center"/>
        </w:trPr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L</w:t>
            </w:r>
            <w:r w:rsidRPr="00E82D83">
              <w:rPr>
                <w:vertAlign w:val="subscript"/>
              </w:rPr>
              <w:t>TI</w:t>
            </w:r>
          </w:p>
        </w:tc>
        <w:tc>
          <w:tcPr>
            <w:tcW w:w="2831" w:type="dxa"/>
            <w:vAlign w:val="center"/>
          </w:tcPr>
          <w:p w:rsidR="00E82D83" w:rsidRDefault="00E82D83" w:rsidP="00E82D83">
            <w:pPr>
              <w:jc w:val="left"/>
            </w:pPr>
            <w:r>
              <w:t>Coluna de água abaixo TPI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mm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a definir</w:t>
            </w:r>
          </w:p>
        </w:tc>
      </w:tr>
      <w:tr w:rsidR="00E82D83" w:rsidTr="00E82D83">
        <w:trPr>
          <w:jc w:val="center"/>
        </w:trPr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 w:rsidRPr="00995833">
              <w:sym w:font="Symbol" w:char="F072"/>
            </w:r>
            <w:r w:rsidRPr="00E82D83">
              <w:rPr>
                <w:vertAlign w:val="subscript"/>
              </w:rPr>
              <w:t>w</w:t>
            </w:r>
          </w:p>
        </w:tc>
        <w:tc>
          <w:tcPr>
            <w:tcW w:w="2831" w:type="dxa"/>
            <w:vAlign w:val="center"/>
          </w:tcPr>
          <w:p w:rsidR="00E82D83" w:rsidRDefault="00E82D83" w:rsidP="00E82D83">
            <w:pPr>
              <w:jc w:val="left"/>
            </w:pPr>
            <w:r>
              <w:t>Densidade água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kg/m</w:t>
            </w:r>
            <w:r w:rsidRPr="00ED1BD5">
              <w:rPr>
                <w:vertAlign w:val="superscript"/>
              </w:rPr>
              <w:t>3</w:t>
            </w:r>
          </w:p>
        </w:tc>
        <w:tc>
          <w:tcPr>
            <w:tcW w:w="1296" w:type="dxa"/>
            <w:vAlign w:val="center"/>
          </w:tcPr>
          <w:p w:rsidR="00E82D83" w:rsidRDefault="00E82D83" w:rsidP="00E82D83">
            <w:pPr>
              <w:jc w:val="center"/>
            </w:pPr>
            <w:r>
              <w:t>998</w:t>
            </w:r>
          </w:p>
        </w:tc>
      </w:tr>
      <w:tr w:rsidR="00ED1BD5" w:rsidTr="00E82D83">
        <w:trPr>
          <w:jc w:val="center"/>
        </w:trPr>
        <w:tc>
          <w:tcPr>
            <w:tcW w:w="1296" w:type="dxa"/>
          </w:tcPr>
          <w:p w:rsidR="00ED1BD5" w:rsidRPr="00ED1BD5" w:rsidRDefault="00ED1BD5" w:rsidP="00E82D83">
            <w:pPr>
              <w:jc w:val="center"/>
            </w:pPr>
            <w:r w:rsidRPr="00995833">
              <w:sym w:font="Symbol" w:char="F072"/>
            </w:r>
            <w:r>
              <w:rPr>
                <w:vertAlign w:val="subscript"/>
              </w:rPr>
              <w:t xml:space="preserve">K </w:t>
            </w:r>
            <w:r>
              <w:t>(</w:t>
            </w:r>
            <w:r w:rsidRPr="00ED1BD5">
              <w:rPr>
                <w:color w:val="FF0000"/>
              </w:rPr>
              <w:t>*</w:t>
            </w:r>
            <w:r>
              <w:t>)</w:t>
            </w:r>
          </w:p>
        </w:tc>
        <w:tc>
          <w:tcPr>
            <w:tcW w:w="2831" w:type="dxa"/>
          </w:tcPr>
          <w:p w:rsidR="00ED1BD5" w:rsidRDefault="00ED1BD5" w:rsidP="00995833">
            <w:r>
              <w:t>Densidade querosene</w:t>
            </w:r>
          </w:p>
        </w:tc>
        <w:tc>
          <w:tcPr>
            <w:tcW w:w="1296" w:type="dxa"/>
          </w:tcPr>
          <w:p w:rsidR="00ED1BD5" w:rsidRDefault="00ED1BD5" w:rsidP="00E82D83">
            <w:pPr>
              <w:jc w:val="center"/>
            </w:pPr>
            <w:r>
              <w:t>Kg/m</w:t>
            </w:r>
            <w:r w:rsidRPr="00ED1BD5">
              <w:rPr>
                <w:vertAlign w:val="superscript"/>
              </w:rPr>
              <w:t>3</w:t>
            </w:r>
          </w:p>
        </w:tc>
        <w:tc>
          <w:tcPr>
            <w:tcW w:w="1296" w:type="dxa"/>
          </w:tcPr>
          <w:p w:rsidR="00ED1BD5" w:rsidRDefault="00ED1BD5" w:rsidP="00E82D83">
            <w:pPr>
              <w:jc w:val="center"/>
            </w:pPr>
            <w:r>
              <w:t>800</w:t>
            </w:r>
          </w:p>
        </w:tc>
      </w:tr>
      <w:tr w:rsidR="00E82D83" w:rsidTr="00E82D83">
        <w:trPr>
          <w:jc w:val="center"/>
        </w:trPr>
        <w:tc>
          <w:tcPr>
            <w:tcW w:w="1296" w:type="dxa"/>
          </w:tcPr>
          <w:p w:rsidR="00E82D83" w:rsidRDefault="00E82D83" w:rsidP="00E82D83">
            <w:pPr>
              <w:jc w:val="center"/>
            </w:pPr>
            <w:r>
              <w:t>g</w:t>
            </w:r>
          </w:p>
        </w:tc>
        <w:tc>
          <w:tcPr>
            <w:tcW w:w="2831" w:type="dxa"/>
          </w:tcPr>
          <w:p w:rsidR="00E82D83" w:rsidRDefault="00E82D83" w:rsidP="00995833">
            <w:r>
              <w:t>Aceleração gravidade</w:t>
            </w:r>
          </w:p>
        </w:tc>
        <w:tc>
          <w:tcPr>
            <w:tcW w:w="1296" w:type="dxa"/>
          </w:tcPr>
          <w:p w:rsidR="00E82D83" w:rsidRDefault="00E82D83" w:rsidP="00E82D83">
            <w:pPr>
              <w:jc w:val="center"/>
            </w:pPr>
            <w:r>
              <w:t>m/s</w:t>
            </w:r>
            <w:r w:rsidRPr="00ED1BD5">
              <w:rPr>
                <w:vertAlign w:val="superscript"/>
              </w:rPr>
              <w:t>2</w:t>
            </w:r>
          </w:p>
        </w:tc>
        <w:tc>
          <w:tcPr>
            <w:tcW w:w="1296" w:type="dxa"/>
          </w:tcPr>
          <w:p w:rsidR="00E82D83" w:rsidRDefault="00E82D83" w:rsidP="00E82D83">
            <w:pPr>
              <w:jc w:val="center"/>
            </w:pPr>
            <w:r>
              <w:t>9,81</w:t>
            </w:r>
          </w:p>
        </w:tc>
      </w:tr>
      <w:tr w:rsidR="00B87E89" w:rsidTr="00E82D83">
        <w:trPr>
          <w:jc w:val="center"/>
        </w:trPr>
        <w:tc>
          <w:tcPr>
            <w:tcW w:w="1296" w:type="dxa"/>
          </w:tcPr>
          <w:p w:rsidR="00B87E89" w:rsidRDefault="00B87E89" w:rsidP="00E82D83">
            <w:pPr>
              <w:jc w:val="center"/>
            </w:pPr>
            <w:proofErr w:type="spellStart"/>
            <w:r>
              <w:t>R</w:t>
            </w:r>
            <w:r w:rsidRPr="00ED1BD5">
              <w:rPr>
                <w:vertAlign w:val="subscript"/>
              </w:rPr>
              <w:t>ar</w:t>
            </w:r>
            <w:proofErr w:type="spellEnd"/>
          </w:p>
        </w:tc>
        <w:tc>
          <w:tcPr>
            <w:tcW w:w="2831" w:type="dxa"/>
          </w:tcPr>
          <w:p w:rsidR="00B87E89" w:rsidRDefault="00B87E89" w:rsidP="00995833">
            <w:r>
              <w:t>Constante do ar</w:t>
            </w:r>
          </w:p>
        </w:tc>
        <w:tc>
          <w:tcPr>
            <w:tcW w:w="1296" w:type="dxa"/>
          </w:tcPr>
          <w:p w:rsidR="00B87E89" w:rsidRDefault="00B87E89" w:rsidP="00E82D83">
            <w:pPr>
              <w:jc w:val="center"/>
            </w:pPr>
            <w:r>
              <w:t>J/</w:t>
            </w:r>
            <w:proofErr w:type="spellStart"/>
            <w:r>
              <w:t>kg.K</w:t>
            </w:r>
            <w:proofErr w:type="spellEnd"/>
          </w:p>
        </w:tc>
        <w:tc>
          <w:tcPr>
            <w:tcW w:w="1296" w:type="dxa"/>
          </w:tcPr>
          <w:p w:rsidR="00B87E89" w:rsidRDefault="00B87E89" w:rsidP="00E82D83">
            <w:pPr>
              <w:jc w:val="center"/>
            </w:pPr>
            <w:r>
              <w:t>287</w:t>
            </w:r>
          </w:p>
        </w:tc>
      </w:tr>
      <w:tr w:rsidR="00ED1BD5" w:rsidTr="00E82D83">
        <w:trPr>
          <w:jc w:val="center"/>
        </w:trPr>
        <w:tc>
          <w:tcPr>
            <w:tcW w:w="1296" w:type="dxa"/>
          </w:tcPr>
          <w:p w:rsidR="00ED1BD5" w:rsidRDefault="00ED1BD5" w:rsidP="00ED1BD5">
            <w:pPr>
              <w:jc w:val="center"/>
            </w:pPr>
            <w:proofErr w:type="spellStart"/>
            <w:r>
              <w:t>Observ</w:t>
            </w:r>
            <w:proofErr w:type="spellEnd"/>
            <w:r>
              <w:t>.</w:t>
            </w:r>
          </w:p>
        </w:tc>
        <w:tc>
          <w:tcPr>
            <w:tcW w:w="2831" w:type="dxa"/>
          </w:tcPr>
          <w:p w:rsidR="00ED1BD5" w:rsidRDefault="00ED1BD5" w:rsidP="00995833"/>
        </w:tc>
        <w:tc>
          <w:tcPr>
            <w:tcW w:w="1296" w:type="dxa"/>
          </w:tcPr>
          <w:p w:rsidR="00ED1BD5" w:rsidRDefault="00ED1BD5" w:rsidP="00E82D83">
            <w:pPr>
              <w:jc w:val="center"/>
            </w:pPr>
          </w:p>
        </w:tc>
        <w:tc>
          <w:tcPr>
            <w:tcW w:w="1296" w:type="dxa"/>
          </w:tcPr>
          <w:p w:rsidR="00ED1BD5" w:rsidRDefault="00ED1BD5" w:rsidP="00E82D83">
            <w:pPr>
              <w:jc w:val="center"/>
            </w:pPr>
          </w:p>
        </w:tc>
      </w:tr>
      <w:tr w:rsidR="00ED1BD5" w:rsidTr="00E82D83">
        <w:trPr>
          <w:jc w:val="center"/>
        </w:trPr>
        <w:tc>
          <w:tcPr>
            <w:tcW w:w="1296" w:type="dxa"/>
          </w:tcPr>
          <w:p w:rsidR="00ED1BD5" w:rsidRDefault="00ED1BD5" w:rsidP="00ED1BD5">
            <w:pPr>
              <w:jc w:val="center"/>
            </w:pPr>
            <w:r>
              <w:t>(</w:t>
            </w:r>
            <w:r w:rsidRPr="00ED1BD5">
              <w:rPr>
                <w:color w:val="FF0000"/>
              </w:rPr>
              <w:t>*</w:t>
            </w:r>
            <w:r>
              <w:t>)</w:t>
            </w:r>
          </w:p>
        </w:tc>
        <w:tc>
          <w:tcPr>
            <w:tcW w:w="2831" w:type="dxa"/>
          </w:tcPr>
          <w:p w:rsidR="00ED1BD5" w:rsidRDefault="00ED1BD5" w:rsidP="00995833">
            <w:r w:rsidRPr="00ED1BD5">
              <w:rPr>
                <w:color w:val="FF0000"/>
              </w:rPr>
              <w:t>Veja item 2.1.5 abaixo</w:t>
            </w:r>
          </w:p>
        </w:tc>
        <w:tc>
          <w:tcPr>
            <w:tcW w:w="1296" w:type="dxa"/>
          </w:tcPr>
          <w:p w:rsidR="00ED1BD5" w:rsidRDefault="00ED1BD5" w:rsidP="00E82D83">
            <w:pPr>
              <w:jc w:val="center"/>
            </w:pPr>
          </w:p>
        </w:tc>
        <w:tc>
          <w:tcPr>
            <w:tcW w:w="1296" w:type="dxa"/>
          </w:tcPr>
          <w:p w:rsidR="00ED1BD5" w:rsidRDefault="00ED1BD5" w:rsidP="00E82D83">
            <w:pPr>
              <w:jc w:val="center"/>
            </w:pPr>
          </w:p>
        </w:tc>
      </w:tr>
    </w:tbl>
    <w:p w:rsidR="00995833" w:rsidRDefault="00995833" w:rsidP="00995833"/>
    <w:p w:rsidR="00995833" w:rsidRDefault="00ED1BD5" w:rsidP="00995833">
      <w:r>
        <w:t>2 -</w:t>
      </w:r>
      <w:r w:rsidR="00542AC0">
        <w:t>Variáveis lidas do CLP</w:t>
      </w:r>
    </w:p>
    <w:p w:rsidR="00542AC0" w:rsidRPr="00542AC0" w:rsidRDefault="00542AC0" w:rsidP="00542AC0">
      <w:pPr>
        <w:pStyle w:val="Caption"/>
        <w:rPr>
          <w:color w:val="000000" w:themeColor="text1"/>
        </w:rPr>
      </w:pPr>
      <w:bookmarkStart w:id="1" w:name="_Ref37689662"/>
      <w:r w:rsidRPr="00542AC0">
        <w:rPr>
          <w:color w:val="000000" w:themeColor="text1"/>
        </w:rPr>
        <w:t xml:space="preserve">Tabela </w:t>
      </w:r>
      <w:r w:rsidRPr="00542AC0">
        <w:rPr>
          <w:color w:val="000000" w:themeColor="text1"/>
        </w:rPr>
        <w:fldChar w:fldCharType="begin"/>
      </w:r>
      <w:r w:rsidRPr="00542AC0">
        <w:rPr>
          <w:color w:val="000000" w:themeColor="text1"/>
        </w:rPr>
        <w:instrText xml:space="preserve"> SEQ Tabela \* ARABIC </w:instrText>
      </w:r>
      <w:r w:rsidRPr="00542AC0">
        <w:rPr>
          <w:color w:val="000000" w:themeColor="text1"/>
        </w:rPr>
        <w:fldChar w:fldCharType="separate"/>
      </w:r>
      <w:r w:rsidR="00F60C40">
        <w:rPr>
          <w:noProof/>
          <w:color w:val="000000" w:themeColor="text1"/>
        </w:rPr>
        <w:t>2</w:t>
      </w:r>
      <w:r w:rsidRPr="00542AC0">
        <w:rPr>
          <w:color w:val="000000" w:themeColor="text1"/>
        </w:rPr>
        <w:fldChar w:fldCharType="end"/>
      </w:r>
      <w:bookmarkEnd w:id="1"/>
      <w:r w:rsidRPr="00542AC0">
        <w:rPr>
          <w:color w:val="000000" w:themeColor="text1"/>
        </w:rPr>
        <w:t xml:space="preserve">– </w:t>
      </w:r>
      <w:r w:rsidR="00ED1BD5">
        <w:rPr>
          <w:color w:val="000000" w:themeColor="text1"/>
        </w:rPr>
        <w:t>Variáveis lidas do CLP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3739"/>
        <w:gridCol w:w="1296"/>
        <w:gridCol w:w="1296"/>
      </w:tblGrid>
      <w:tr w:rsidR="00542AC0" w:rsidTr="005D036B">
        <w:trPr>
          <w:jc w:val="center"/>
        </w:trPr>
        <w:tc>
          <w:tcPr>
            <w:tcW w:w="1296" w:type="dxa"/>
          </w:tcPr>
          <w:p w:rsidR="00542AC0" w:rsidRDefault="00542AC0" w:rsidP="004E213E">
            <w:r>
              <w:t>Variável</w:t>
            </w:r>
          </w:p>
        </w:tc>
        <w:tc>
          <w:tcPr>
            <w:tcW w:w="3739" w:type="dxa"/>
          </w:tcPr>
          <w:p w:rsidR="00542AC0" w:rsidRDefault="00542AC0" w:rsidP="004E213E">
            <w:r>
              <w:t>Descrição</w:t>
            </w:r>
          </w:p>
        </w:tc>
        <w:tc>
          <w:tcPr>
            <w:tcW w:w="1296" w:type="dxa"/>
          </w:tcPr>
          <w:p w:rsidR="00542AC0" w:rsidRDefault="00542AC0" w:rsidP="004E213E">
            <w:r>
              <w:t>Unidade</w:t>
            </w:r>
          </w:p>
        </w:tc>
        <w:tc>
          <w:tcPr>
            <w:tcW w:w="1296" w:type="dxa"/>
          </w:tcPr>
          <w:p w:rsidR="00542AC0" w:rsidRDefault="00542AC0" w:rsidP="004E213E">
            <w:r>
              <w:t>Valor</w:t>
            </w:r>
          </w:p>
        </w:tc>
      </w:tr>
      <w:tr w:rsidR="00542AC0" w:rsidTr="005D036B">
        <w:trPr>
          <w:jc w:val="center"/>
        </w:trPr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P</w:t>
            </w:r>
            <w:r w:rsidRPr="00F60C40">
              <w:rPr>
                <w:vertAlign w:val="subscript"/>
              </w:rPr>
              <w:t>1</w:t>
            </w:r>
          </w:p>
        </w:tc>
        <w:tc>
          <w:tcPr>
            <w:tcW w:w="3739" w:type="dxa"/>
            <w:vAlign w:val="center"/>
          </w:tcPr>
          <w:p w:rsidR="00542AC0" w:rsidRDefault="00542AC0" w:rsidP="00542AC0">
            <w:pPr>
              <w:jc w:val="left"/>
            </w:pPr>
            <w:r>
              <w:t>Pressão coluna W+K</w:t>
            </w:r>
          </w:p>
        </w:tc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mmH2O</w:t>
            </w:r>
          </w:p>
        </w:tc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leitura</w:t>
            </w:r>
          </w:p>
        </w:tc>
      </w:tr>
      <w:tr w:rsidR="00542AC0" w:rsidTr="005D036B">
        <w:trPr>
          <w:jc w:val="center"/>
        </w:trPr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P</w:t>
            </w:r>
            <w:r w:rsidRPr="00F60C40">
              <w:rPr>
                <w:vertAlign w:val="subscript"/>
              </w:rPr>
              <w:t>2</w:t>
            </w:r>
          </w:p>
        </w:tc>
        <w:tc>
          <w:tcPr>
            <w:tcW w:w="3739" w:type="dxa"/>
            <w:vAlign w:val="center"/>
          </w:tcPr>
          <w:p w:rsidR="00542AC0" w:rsidRDefault="00542AC0" w:rsidP="004E213E">
            <w:pPr>
              <w:jc w:val="left"/>
            </w:pPr>
            <w:r>
              <w:t>Pressão coluna W+K</w:t>
            </w:r>
          </w:p>
        </w:tc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mmH2O</w:t>
            </w:r>
          </w:p>
        </w:tc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leitura</w:t>
            </w:r>
          </w:p>
        </w:tc>
      </w:tr>
      <w:tr w:rsidR="00542AC0" w:rsidTr="005D036B">
        <w:trPr>
          <w:jc w:val="center"/>
        </w:trPr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proofErr w:type="spellStart"/>
            <w:r>
              <w:t>P</w:t>
            </w:r>
            <w:r w:rsidRPr="00542AC0">
              <w:rPr>
                <w:vertAlign w:val="subscript"/>
              </w:rPr>
              <w:t>atm</w:t>
            </w:r>
            <w:proofErr w:type="spellEnd"/>
          </w:p>
        </w:tc>
        <w:tc>
          <w:tcPr>
            <w:tcW w:w="3739" w:type="dxa"/>
            <w:vAlign w:val="center"/>
          </w:tcPr>
          <w:p w:rsidR="00542AC0" w:rsidRDefault="00542AC0" w:rsidP="004E213E">
            <w:pPr>
              <w:jc w:val="left"/>
            </w:pPr>
            <w:r>
              <w:t>Leitura do Barômetro</w:t>
            </w:r>
          </w:p>
        </w:tc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kPa</w:t>
            </w:r>
          </w:p>
        </w:tc>
        <w:tc>
          <w:tcPr>
            <w:tcW w:w="1296" w:type="dxa"/>
            <w:vAlign w:val="center"/>
          </w:tcPr>
          <w:p w:rsidR="00542AC0" w:rsidRDefault="00542AC0" w:rsidP="00542AC0">
            <w:pPr>
              <w:jc w:val="center"/>
            </w:pPr>
            <w:r>
              <w:t>leitura</w:t>
            </w:r>
          </w:p>
        </w:tc>
      </w:tr>
      <w:tr w:rsidR="00B87E89" w:rsidTr="005D036B">
        <w:trPr>
          <w:jc w:val="center"/>
        </w:trPr>
        <w:tc>
          <w:tcPr>
            <w:tcW w:w="1296" w:type="dxa"/>
            <w:vAlign w:val="center"/>
          </w:tcPr>
          <w:p w:rsidR="00B87E89" w:rsidRDefault="00B87E89" w:rsidP="004E213E">
            <w:pPr>
              <w:jc w:val="center"/>
            </w:pPr>
            <w:proofErr w:type="spellStart"/>
            <w:r>
              <w:t>T</w:t>
            </w:r>
            <w:r w:rsidRPr="00B87E89">
              <w:rPr>
                <w:vertAlign w:val="subscript"/>
              </w:rPr>
              <w:t>amb</w:t>
            </w:r>
            <w:proofErr w:type="spellEnd"/>
          </w:p>
        </w:tc>
        <w:tc>
          <w:tcPr>
            <w:tcW w:w="3739" w:type="dxa"/>
            <w:vAlign w:val="center"/>
          </w:tcPr>
          <w:p w:rsidR="00B87E89" w:rsidRDefault="00B87E89" w:rsidP="004E213E">
            <w:pPr>
              <w:jc w:val="left"/>
            </w:pPr>
            <w:r>
              <w:t>Leitura temperatura ambiente</w:t>
            </w:r>
          </w:p>
        </w:tc>
        <w:tc>
          <w:tcPr>
            <w:tcW w:w="1296" w:type="dxa"/>
            <w:vAlign w:val="center"/>
          </w:tcPr>
          <w:p w:rsidR="00B87E89" w:rsidRDefault="00B87E89" w:rsidP="004E213E">
            <w:pPr>
              <w:jc w:val="center"/>
            </w:pPr>
            <w:proofErr w:type="spellStart"/>
            <w:r w:rsidRPr="005D036B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1296" w:type="dxa"/>
            <w:vAlign w:val="center"/>
          </w:tcPr>
          <w:p w:rsidR="00B87E89" w:rsidRDefault="00B87E89" w:rsidP="00542AC0">
            <w:pPr>
              <w:jc w:val="center"/>
            </w:pPr>
            <w:r>
              <w:t>leitura</w:t>
            </w:r>
          </w:p>
        </w:tc>
      </w:tr>
      <w:tr w:rsidR="00542AC0" w:rsidTr="005D036B">
        <w:trPr>
          <w:jc w:val="center"/>
        </w:trPr>
        <w:tc>
          <w:tcPr>
            <w:tcW w:w="1296" w:type="dxa"/>
            <w:vAlign w:val="center"/>
          </w:tcPr>
          <w:p w:rsidR="00542AC0" w:rsidRDefault="00542AC0" w:rsidP="00542AC0">
            <w:pPr>
              <w:jc w:val="center"/>
            </w:pPr>
            <w:r>
              <w:t>L</w:t>
            </w:r>
            <w:r w:rsidRPr="00542AC0">
              <w:rPr>
                <w:vertAlign w:val="subscript"/>
              </w:rPr>
              <w:t>L</w:t>
            </w:r>
          </w:p>
        </w:tc>
        <w:tc>
          <w:tcPr>
            <w:tcW w:w="3739" w:type="dxa"/>
            <w:vAlign w:val="center"/>
          </w:tcPr>
          <w:p w:rsidR="00542AC0" w:rsidRDefault="005D036B" w:rsidP="005D036B">
            <w:pPr>
              <w:jc w:val="left"/>
            </w:pPr>
            <w:r>
              <w:t>Coluna i</w:t>
            </w:r>
            <w:r w:rsidR="00542AC0">
              <w:t xml:space="preserve">nterface K/Ar, </w:t>
            </w:r>
            <w:r w:rsidR="00542AC0" w:rsidRPr="005D036B">
              <w:rPr>
                <w:b/>
              </w:rPr>
              <w:t>sensor ótico</w:t>
            </w:r>
          </w:p>
        </w:tc>
        <w:tc>
          <w:tcPr>
            <w:tcW w:w="1296" w:type="dxa"/>
            <w:vAlign w:val="center"/>
          </w:tcPr>
          <w:p w:rsidR="00542AC0" w:rsidRDefault="005D036B" w:rsidP="004E213E">
            <w:pPr>
              <w:jc w:val="center"/>
            </w:pPr>
            <w:r>
              <w:t>mm</w:t>
            </w:r>
          </w:p>
        </w:tc>
        <w:tc>
          <w:tcPr>
            <w:tcW w:w="1296" w:type="dxa"/>
            <w:vAlign w:val="center"/>
          </w:tcPr>
          <w:p w:rsidR="00542AC0" w:rsidRDefault="00542AC0" w:rsidP="004E213E">
            <w:pPr>
              <w:jc w:val="center"/>
            </w:pPr>
            <w:r>
              <w:t>leitura</w:t>
            </w:r>
          </w:p>
        </w:tc>
      </w:tr>
      <w:tr w:rsidR="00542AC0" w:rsidTr="005D036B">
        <w:trPr>
          <w:jc w:val="center"/>
        </w:trPr>
        <w:tc>
          <w:tcPr>
            <w:tcW w:w="1296" w:type="dxa"/>
          </w:tcPr>
          <w:p w:rsidR="00542AC0" w:rsidRDefault="005D036B" w:rsidP="004E213E">
            <w:pPr>
              <w:jc w:val="center"/>
            </w:pPr>
            <w:proofErr w:type="spellStart"/>
            <w:r>
              <w:t>L</w:t>
            </w:r>
            <w:r w:rsidR="009943DB">
              <w:rPr>
                <w:vertAlign w:val="subscript"/>
              </w:rPr>
              <w:t>w</w:t>
            </w:r>
            <w:r w:rsidRPr="005D036B">
              <w:rPr>
                <w:vertAlign w:val="subscript"/>
              </w:rPr>
              <w:t>SO</w:t>
            </w:r>
            <w:proofErr w:type="spellEnd"/>
          </w:p>
        </w:tc>
        <w:tc>
          <w:tcPr>
            <w:tcW w:w="3739" w:type="dxa"/>
          </w:tcPr>
          <w:p w:rsidR="00542AC0" w:rsidRDefault="005D036B" w:rsidP="004E213E">
            <w:r>
              <w:t xml:space="preserve">Coluna interface A/K, </w:t>
            </w:r>
            <w:r w:rsidRPr="005D036B">
              <w:rPr>
                <w:b/>
              </w:rPr>
              <w:t>sensor ótico</w:t>
            </w:r>
          </w:p>
        </w:tc>
        <w:tc>
          <w:tcPr>
            <w:tcW w:w="1296" w:type="dxa"/>
          </w:tcPr>
          <w:p w:rsidR="00542AC0" w:rsidRDefault="005D036B" w:rsidP="004E213E">
            <w:pPr>
              <w:jc w:val="center"/>
            </w:pPr>
            <w:r>
              <w:t>mm</w:t>
            </w:r>
          </w:p>
        </w:tc>
        <w:tc>
          <w:tcPr>
            <w:tcW w:w="1296" w:type="dxa"/>
          </w:tcPr>
          <w:p w:rsidR="00542AC0" w:rsidRDefault="005D036B" w:rsidP="004E213E">
            <w:pPr>
              <w:jc w:val="center"/>
            </w:pPr>
            <w:r>
              <w:t>leitura</w:t>
            </w:r>
          </w:p>
        </w:tc>
      </w:tr>
    </w:tbl>
    <w:p w:rsidR="00542AC0" w:rsidRDefault="00542AC0" w:rsidP="00995833"/>
    <w:p w:rsidR="00542AC0" w:rsidRDefault="00ED1BD5" w:rsidP="00995833">
      <w:r>
        <w:t xml:space="preserve">2.1 - </w:t>
      </w:r>
      <w:r w:rsidR="00542AC0">
        <w:t>Cálculos associados com estas variáveis:</w:t>
      </w:r>
    </w:p>
    <w:p w:rsidR="00FA353A" w:rsidRDefault="00FA353A" w:rsidP="00995833"/>
    <w:p w:rsidR="00EF4A98" w:rsidRDefault="00EF4A98" w:rsidP="005D036B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>Calcular pressão P</w:t>
      </w:r>
      <w:r w:rsidRPr="00EF4A98">
        <w:rPr>
          <w:vertAlign w:val="subscript"/>
        </w:rPr>
        <w:t>1</w:t>
      </w:r>
      <w:r>
        <w:t xml:space="preserve"> e P</w:t>
      </w:r>
      <w:r w:rsidRPr="00EF4A98">
        <w:rPr>
          <w:vertAlign w:val="subscript"/>
        </w:rPr>
        <w:t>2</w:t>
      </w:r>
      <w:r>
        <w:t xml:space="preserve">, use eq. (1.13), </w:t>
      </w:r>
      <w:r w:rsidRPr="00EF4A98">
        <w:rPr>
          <w:position w:val="-12"/>
        </w:rPr>
        <w:object w:dxaOrig="3580" w:dyaOrig="340">
          <v:shape id="_x0000_i1326" type="#_x0000_t75" style="width:179pt;height:17pt" o:ole="">
            <v:imagedata r:id="rId35" o:title=""/>
          </v:shape>
          <o:OLEObject Type="Embed" ProgID="Equation.DSMT4" ShapeID="_x0000_i1326" DrawAspect="Content" ObjectID="_1648358419" r:id="rId36"/>
        </w:object>
      </w:r>
      <w:r>
        <w:t xml:space="preserve"> e armazenar P</w:t>
      </w:r>
      <w:r w:rsidRPr="00EF4A98">
        <w:rPr>
          <w:vertAlign w:val="subscript"/>
        </w:rPr>
        <w:t>1</w:t>
      </w:r>
      <w:r>
        <w:t xml:space="preserve"> e P</w:t>
      </w:r>
      <w:r w:rsidRPr="00EF4A98">
        <w:rPr>
          <w:vertAlign w:val="subscript"/>
        </w:rPr>
        <w:t>2</w:t>
      </w:r>
      <w:r>
        <w:t>.</w:t>
      </w:r>
    </w:p>
    <w:p w:rsidR="00B87E89" w:rsidRDefault="005D036B" w:rsidP="005D036B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>F</w:t>
      </w:r>
      <w:r w:rsidR="00B87E89">
        <w:t xml:space="preserve">azer média </w:t>
      </w:r>
      <w:r w:rsidR="00AB1507">
        <w:t>P</w:t>
      </w:r>
      <w:r w:rsidR="00AB1507" w:rsidRPr="00EF4A98">
        <w:rPr>
          <w:vertAlign w:val="subscript"/>
        </w:rPr>
        <w:t>M</w:t>
      </w:r>
      <w:r w:rsidR="00AB1507">
        <w:t xml:space="preserve"> = </w:t>
      </w:r>
      <w:r w:rsidR="00B87E89">
        <w:t>(P</w:t>
      </w:r>
      <w:r w:rsidR="00B87E89" w:rsidRPr="00EF4A98">
        <w:rPr>
          <w:vertAlign w:val="subscript"/>
        </w:rPr>
        <w:t>1</w:t>
      </w:r>
      <w:r w:rsidR="00B87E89">
        <w:t>+P</w:t>
      </w:r>
      <w:proofErr w:type="gramStart"/>
      <w:r w:rsidR="00B87E89" w:rsidRPr="00EF4A98">
        <w:rPr>
          <w:vertAlign w:val="subscript"/>
        </w:rPr>
        <w:t>2</w:t>
      </w:r>
      <w:r w:rsidR="00B87E89">
        <w:t>)/</w:t>
      </w:r>
      <w:proofErr w:type="gramEnd"/>
      <w:r w:rsidR="00B87E89">
        <w:t>2</w:t>
      </w:r>
      <w:r w:rsidR="00AB1507">
        <w:t>, armazenar P</w:t>
      </w:r>
      <w:r w:rsidR="00AB1507" w:rsidRPr="009943DB">
        <w:rPr>
          <w:vertAlign w:val="subscript"/>
        </w:rPr>
        <w:t>M</w:t>
      </w:r>
      <w:r w:rsidR="00B87E89">
        <w:t xml:space="preserve"> </w:t>
      </w:r>
    </w:p>
    <w:p w:rsidR="00B87E89" w:rsidRDefault="005D036B" w:rsidP="005D036B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lastRenderedPageBreak/>
        <w:t>F</w:t>
      </w:r>
      <w:r w:rsidR="00B87E89">
        <w:t xml:space="preserve">azer diferença: </w:t>
      </w:r>
      <w:r w:rsidR="00EF4A98">
        <w:sym w:font="Symbol" w:char="F07C"/>
      </w:r>
      <w:r w:rsidR="00B87E89">
        <w:t>P</w:t>
      </w:r>
      <w:r w:rsidR="00B87E89" w:rsidRPr="00EF4A98">
        <w:rPr>
          <w:vertAlign w:val="subscript"/>
        </w:rPr>
        <w:t>1</w:t>
      </w:r>
      <w:r w:rsidR="00B87E89">
        <w:t>-P</w:t>
      </w:r>
      <w:r w:rsidR="00B87E89" w:rsidRPr="00EF4A98">
        <w:rPr>
          <w:vertAlign w:val="subscript"/>
        </w:rPr>
        <w:t>2</w:t>
      </w:r>
      <w:r w:rsidR="00EF4A98">
        <w:sym w:font="Symbol" w:char="F07C"/>
      </w:r>
      <w:r>
        <w:t xml:space="preserve">, armazenar </w:t>
      </w:r>
      <w:r>
        <w:sym w:font="Symbol" w:char="F044"/>
      </w:r>
      <w:r>
        <w:t>P</w:t>
      </w:r>
      <w:r w:rsidRPr="009943DB">
        <w:rPr>
          <w:vertAlign w:val="subscript"/>
        </w:rPr>
        <w:t>M</w:t>
      </w:r>
    </w:p>
    <w:p w:rsidR="00B87E89" w:rsidRDefault="005D036B" w:rsidP="005D036B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>Comparar se</w:t>
      </w:r>
      <w:r w:rsidR="00B87E89">
        <w:t xml:space="preserve"> </w:t>
      </w:r>
      <w:r w:rsidR="00EF4A98">
        <w:sym w:font="Symbol" w:char="F044"/>
      </w:r>
      <w:r w:rsidR="00EF4A98">
        <w:t>P</w:t>
      </w:r>
      <w:r w:rsidR="00EF4A98" w:rsidRPr="009943DB">
        <w:rPr>
          <w:vertAlign w:val="subscript"/>
        </w:rPr>
        <w:t>M</w:t>
      </w:r>
      <w:r w:rsidR="00B87E89">
        <w:t>/</w:t>
      </w:r>
      <w:r w:rsidR="00EF4A98">
        <w:t>P</w:t>
      </w:r>
      <w:r w:rsidR="00EF4A98" w:rsidRPr="009943DB">
        <w:rPr>
          <w:vertAlign w:val="subscript"/>
        </w:rPr>
        <w:t>M</w:t>
      </w:r>
      <w:r w:rsidR="00B87E89">
        <w:t xml:space="preserve"> &lt; 0.05 prossiga, contrário emite um aviso para operador analisar a situação se prossegue ou não os cálculos</w:t>
      </w:r>
    </w:p>
    <w:p w:rsidR="00ED1BD5" w:rsidRDefault="00ED1BD5" w:rsidP="005D036B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e armazenar densidade do ar: </w:t>
      </w:r>
      <w:r w:rsidR="009943DB">
        <w:sym w:font="Symbol" w:char="F072"/>
      </w:r>
      <w:r w:rsidR="009943DB" w:rsidRPr="009943DB">
        <w:rPr>
          <w:vertAlign w:val="subscript"/>
        </w:rPr>
        <w:t>ar</w:t>
      </w:r>
      <w:r>
        <w:t xml:space="preserve"> = </w:t>
      </w:r>
      <w:proofErr w:type="spellStart"/>
      <w:r>
        <w:t>P</w:t>
      </w:r>
      <w:r w:rsidRPr="00AB1507">
        <w:rPr>
          <w:vertAlign w:val="subscript"/>
        </w:rPr>
        <w:t>atm</w:t>
      </w:r>
      <w:proofErr w:type="spellEnd"/>
      <w:r>
        <w:t>*1000/(</w:t>
      </w:r>
      <w:proofErr w:type="spellStart"/>
      <w:r>
        <w:t>R</w:t>
      </w:r>
      <w:r w:rsidRPr="00AB1507">
        <w:rPr>
          <w:vertAlign w:val="subscript"/>
        </w:rPr>
        <w:t>ar</w:t>
      </w:r>
      <w:proofErr w:type="spellEnd"/>
      <w:r>
        <w:t>*(T</w:t>
      </w:r>
      <w:r w:rsidRPr="00AB1507">
        <w:rPr>
          <w:vertAlign w:val="subscript"/>
        </w:rPr>
        <w:t>amb</w:t>
      </w:r>
      <w:r>
        <w:t>+273.15))</w:t>
      </w:r>
    </w:p>
    <w:p w:rsidR="00ED1BD5" w:rsidRDefault="00AB1507" w:rsidP="005D036B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</w:t>
      </w:r>
      <w:proofErr w:type="spellStart"/>
      <w:r w:rsidR="00977B47">
        <w:t>holdup</w:t>
      </w:r>
      <w:proofErr w:type="spellEnd"/>
      <w:r w:rsidR="00977B47">
        <w:t xml:space="preserve"> querosen</w:t>
      </w:r>
      <w:r w:rsidR="00EF4A98">
        <w:t>e</w:t>
      </w:r>
      <w:r w:rsidR="00977B47">
        <w:t xml:space="preserve"> </w:t>
      </w:r>
      <w:proofErr w:type="spellStart"/>
      <w:r>
        <w:t>H</w:t>
      </w:r>
      <w:r w:rsidRPr="00ED1BD5">
        <w:rPr>
          <w:vertAlign w:val="subscript"/>
        </w:rPr>
        <w:t>k</w:t>
      </w:r>
      <w:proofErr w:type="spellEnd"/>
      <w:r>
        <w:t xml:space="preserve"> (eq. 1.8)</w:t>
      </w:r>
      <w:r w:rsidR="00ED1BD5">
        <w:t>, nesta expressão falta ainda uma eq. para densidade do querosene. Mais adiante l</w:t>
      </w:r>
      <w:r w:rsidR="001546FB">
        <w:t xml:space="preserve">he passarei uma equação por enquanto use a constante, da </w:t>
      </w:r>
      <w:r w:rsidR="001546FB">
        <w:fldChar w:fldCharType="begin"/>
      </w:r>
      <w:r w:rsidR="001546FB">
        <w:instrText xml:space="preserve"> REF _Ref37689758 \h </w:instrText>
      </w:r>
      <w:r w:rsidR="001546FB">
        <w:fldChar w:fldCharType="separate"/>
      </w:r>
      <w:r w:rsidR="001546FB" w:rsidRPr="00E82D83">
        <w:t xml:space="preserve">Tabela </w:t>
      </w:r>
      <w:r w:rsidR="001546FB">
        <w:rPr>
          <w:noProof/>
        </w:rPr>
        <w:t>1</w:t>
      </w:r>
      <w:r w:rsidR="001546FB">
        <w:fldChar w:fldCharType="end"/>
      </w:r>
      <w:r w:rsidR="001546FB">
        <w:t>.</w:t>
      </w:r>
    </w:p>
    <w:p w:rsidR="00AB1507" w:rsidRDefault="00E043A9" w:rsidP="00E043A9">
      <w:pPr>
        <w:pStyle w:val="ListParagraph"/>
        <w:ind w:left="90"/>
      </w:pPr>
      <w:r w:rsidRPr="00E043A9">
        <w:rPr>
          <w:position w:val="-50"/>
        </w:rPr>
        <w:object w:dxaOrig="10080" w:dyaOrig="1120">
          <v:shape id="_x0000_i1375" type="#_x0000_t75" style="width:448pt;height:50pt" o:ole="">
            <v:imagedata r:id="rId37" o:title=""/>
          </v:shape>
          <o:OLEObject Type="Embed" ProgID="Equation.DSMT4" ShapeID="_x0000_i1375" DrawAspect="Content" ObjectID="_1648358420" r:id="rId38"/>
        </w:object>
      </w:r>
    </w:p>
    <w:p w:rsidR="00AB1507" w:rsidRDefault="00AB1507" w:rsidP="00AB1507"/>
    <w:p w:rsidR="00B87E89" w:rsidRDefault="00B87E89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>Calcular</w:t>
      </w:r>
      <w:r w:rsidR="00AB1507">
        <w:t xml:space="preserve"> </w:t>
      </w:r>
      <w:proofErr w:type="spellStart"/>
      <w:r w:rsidR="00977B47">
        <w:t>holdup</w:t>
      </w:r>
      <w:proofErr w:type="spellEnd"/>
      <w:r w:rsidR="00977B47">
        <w:t xml:space="preserve"> de líquido </w:t>
      </w:r>
      <w:r w:rsidR="005D036B">
        <w:t>H</w:t>
      </w:r>
      <w:r w:rsidR="005D036B" w:rsidRPr="00467060">
        <w:rPr>
          <w:vertAlign w:val="subscript"/>
        </w:rPr>
        <w:t>L</w:t>
      </w:r>
      <w:r w:rsidR="005D036B">
        <w:t xml:space="preserve">, </w:t>
      </w:r>
      <w:r w:rsidR="00977B47">
        <w:t>eq. (1.10), H</w:t>
      </w:r>
      <w:r w:rsidR="00977B47" w:rsidRPr="00467060">
        <w:rPr>
          <w:vertAlign w:val="subscript"/>
        </w:rPr>
        <w:t>L</w:t>
      </w:r>
      <w:r w:rsidR="00977B47">
        <w:t xml:space="preserve"> = L</w:t>
      </w:r>
      <w:r w:rsidR="00977B47" w:rsidRPr="00467060">
        <w:rPr>
          <w:vertAlign w:val="subscript"/>
        </w:rPr>
        <w:t>L</w:t>
      </w:r>
      <w:r w:rsidR="00977B47">
        <w:t>/L</w:t>
      </w:r>
      <w:r w:rsidR="00977B47" w:rsidRPr="00467060">
        <w:rPr>
          <w:vertAlign w:val="subscript"/>
        </w:rPr>
        <w:t>T</w:t>
      </w:r>
      <w:r w:rsidR="00977B47">
        <w:t>, armazenar H</w:t>
      </w:r>
      <w:r w:rsidR="00977B47" w:rsidRPr="00467060">
        <w:t>L</w:t>
      </w:r>
      <w:r w:rsidR="00977B47">
        <w:t>;</w:t>
      </w:r>
    </w:p>
    <w:p w:rsidR="00977B47" w:rsidRDefault="00977B47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</w:t>
      </w:r>
      <w:proofErr w:type="spellStart"/>
      <w:r>
        <w:t>holdup</w:t>
      </w:r>
      <w:proofErr w:type="spellEnd"/>
      <w:r>
        <w:t xml:space="preserve"> de água H</w:t>
      </w:r>
      <w:r w:rsidRPr="00467060">
        <w:t>w</w:t>
      </w:r>
      <w:r>
        <w:t>, eq. (1.10), H</w:t>
      </w:r>
      <w:r w:rsidRPr="00467060">
        <w:rPr>
          <w:vertAlign w:val="subscript"/>
        </w:rPr>
        <w:t>w</w:t>
      </w:r>
      <w:r>
        <w:t xml:space="preserve"> = H</w:t>
      </w:r>
      <w:r w:rsidRPr="00467060">
        <w:rPr>
          <w:vertAlign w:val="subscript"/>
        </w:rPr>
        <w:t>L</w:t>
      </w:r>
      <w:r w:rsidR="00467060" w:rsidRPr="00467060">
        <w:t xml:space="preserve"> </w:t>
      </w:r>
      <w:r>
        <w:t>-</w:t>
      </w:r>
      <w:r w:rsidR="00467060">
        <w:t xml:space="preserve"> </w:t>
      </w:r>
      <w:proofErr w:type="spellStart"/>
      <w:r>
        <w:t>H</w:t>
      </w:r>
      <w:r w:rsidRPr="00467060">
        <w:rPr>
          <w:vertAlign w:val="subscript"/>
        </w:rPr>
        <w:t>k</w:t>
      </w:r>
      <w:proofErr w:type="spellEnd"/>
      <w:r>
        <w:t>, armazenar H</w:t>
      </w:r>
      <w:r w:rsidRPr="00467060">
        <w:t>w</w:t>
      </w:r>
      <w:r>
        <w:t>;</w:t>
      </w:r>
    </w:p>
    <w:p w:rsidR="00977B47" w:rsidRDefault="00977B47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</w:t>
      </w:r>
      <w:proofErr w:type="spellStart"/>
      <w:r>
        <w:t>holdup</w:t>
      </w:r>
      <w:proofErr w:type="spellEnd"/>
      <w:r>
        <w:t xml:space="preserve"> de ar, H</w:t>
      </w:r>
      <w:r w:rsidRPr="00467060">
        <w:rPr>
          <w:vertAlign w:val="subscript"/>
        </w:rPr>
        <w:t>a</w:t>
      </w:r>
      <w:r>
        <w:t>, eq. (1.11), H</w:t>
      </w:r>
      <w:r w:rsidRPr="00467060">
        <w:rPr>
          <w:vertAlign w:val="subscript"/>
        </w:rPr>
        <w:t>a</w:t>
      </w:r>
      <w:r>
        <w:t xml:space="preserve"> = </w:t>
      </w:r>
      <w:r w:rsidR="00467060">
        <w:t>1 - H</w:t>
      </w:r>
      <w:r w:rsidR="00467060" w:rsidRPr="00467060">
        <w:rPr>
          <w:vertAlign w:val="subscript"/>
        </w:rPr>
        <w:t>L</w:t>
      </w:r>
      <w:r w:rsidR="00467060">
        <w:t>, armazenar H</w:t>
      </w:r>
      <w:r w:rsidR="00467060" w:rsidRPr="009943DB">
        <w:rPr>
          <w:vertAlign w:val="subscript"/>
        </w:rPr>
        <w:t>a</w:t>
      </w:r>
      <w:r w:rsidR="00467060">
        <w:t xml:space="preserve">; </w:t>
      </w:r>
    </w:p>
    <w:p w:rsidR="00467060" w:rsidRDefault="00467060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 Calcular altura coluna ar, L</w:t>
      </w:r>
      <w:r w:rsidRPr="009943DB">
        <w:rPr>
          <w:vertAlign w:val="subscript"/>
        </w:rPr>
        <w:t>a</w:t>
      </w:r>
      <w:r>
        <w:t xml:space="preserve"> = (1-H</w:t>
      </w:r>
      <w:r w:rsidRPr="00467060">
        <w:rPr>
          <w:vertAlign w:val="subscript"/>
        </w:rPr>
        <w:t>L</w:t>
      </w:r>
      <w:r>
        <w:t>).L</w:t>
      </w:r>
      <w:r w:rsidRPr="00467060">
        <w:rPr>
          <w:vertAlign w:val="subscript"/>
        </w:rPr>
        <w:t>T</w:t>
      </w:r>
      <w:r>
        <w:t>, eq. (1.12), armazenar L</w:t>
      </w:r>
      <w:r w:rsidRPr="009943DB">
        <w:rPr>
          <w:vertAlign w:val="subscript"/>
        </w:rPr>
        <w:t>a</w:t>
      </w:r>
      <w:r>
        <w:t>;</w:t>
      </w:r>
    </w:p>
    <w:p w:rsidR="00467060" w:rsidRDefault="00467060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altura coluna querosene, </w:t>
      </w:r>
      <w:proofErr w:type="spellStart"/>
      <w:r>
        <w:t>L</w:t>
      </w:r>
      <w:r w:rsidRPr="00467060">
        <w:rPr>
          <w:vertAlign w:val="subscript"/>
        </w:rPr>
        <w:t>k</w:t>
      </w:r>
      <w:proofErr w:type="spellEnd"/>
      <w:r>
        <w:t xml:space="preserve"> = H</w:t>
      </w:r>
      <w:r w:rsidRPr="00467060">
        <w:rPr>
          <w:vertAlign w:val="subscript"/>
        </w:rPr>
        <w:t>k</w:t>
      </w:r>
      <w:r>
        <w:t>.L</w:t>
      </w:r>
      <w:r w:rsidRPr="00467060">
        <w:rPr>
          <w:vertAlign w:val="subscript"/>
        </w:rPr>
        <w:t>T</w:t>
      </w:r>
      <w:r>
        <w:t xml:space="preserve">, eq. (1.12), armazenar </w:t>
      </w:r>
      <w:proofErr w:type="spellStart"/>
      <w:r>
        <w:t>L</w:t>
      </w:r>
      <w:r w:rsidRPr="00467060">
        <w:rPr>
          <w:vertAlign w:val="subscript"/>
        </w:rPr>
        <w:t>k</w:t>
      </w:r>
      <w:proofErr w:type="spellEnd"/>
      <w:r>
        <w:t>;</w:t>
      </w:r>
    </w:p>
    <w:p w:rsidR="00467060" w:rsidRDefault="00467060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altura coluna água, </w:t>
      </w:r>
      <w:proofErr w:type="spellStart"/>
      <w:r>
        <w:t>L</w:t>
      </w:r>
      <w:r w:rsidRPr="00467060">
        <w:rPr>
          <w:vertAlign w:val="subscript"/>
        </w:rPr>
        <w:t>w</w:t>
      </w:r>
      <w:proofErr w:type="spellEnd"/>
      <w:r>
        <w:t xml:space="preserve"> = H</w:t>
      </w:r>
      <w:r w:rsidRPr="00467060">
        <w:rPr>
          <w:vertAlign w:val="subscript"/>
        </w:rPr>
        <w:t>w</w:t>
      </w:r>
      <w:r>
        <w:t>.L</w:t>
      </w:r>
      <w:r w:rsidRPr="00467060">
        <w:rPr>
          <w:vertAlign w:val="subscript"/>
        </w:rPr>
        <w:t>T</w:t>
      </w:r>
      <w:r>
        <w:t xml:space="preserve">, eq. (1.12), armazenar </w:t>
      </w:r>
      <w:proofErr w:type="spellStart"/>
      <w:r>
        <w:t>L</w:t>
      </w:r>
      <w:r w:rsidRPr="00467060">
        <w:rPr>
          <w:vertAlign w:val="subscript"/>
        </w:rPr>
        <w:t>w</w:t>
      </w:r>
      <w:proofErr w:type="spellEnd"/>
      <w:r>
        <w:t>;</w:t>
      </w:r>
    </w:p>
    <w:p w:rsidR="00861985" w:rsidRDefault="00C80C2A" w:rsidP="00861985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</w:t>
      </w:r>
      <w:proofErr w:type="spellStart"/>
      <w:r>
        <w:t>holdup</w:t>
      </w:r>
      <w:proofErr w:type="spellEnd"/>
      <w:r>
        <w:t xml:space="preserve"> água do sensor ótico, </w:t>
      </w:r>
      <w:proofErr w:type="spellStart"/>
      <w:r>
        <w:t>H</w:t>
      </w:r>
      <w:r w:rsidRPr="00C80C2A">
        <w:rPr>
          <w:vertAlign w:val="subscript"/>
        </w:rPr>
        <w:t>wSO</w:t>
      </w:r>
      <w:proofErr w:type="spellEnd"/>
      <w:r>
        <w:t xml:space="preserve"> = </w:t>
      </w:r>
      <w:proofErr w:type="spellStart"/>
      <w:r>
        <w:t>L</w:t>
      </w:r>
      <w:r w:rsidRPr="00C80C2A">
        <w:rPr>
          <w:vertAlign w:val="subscript"/>
        </w:rPr>
        <w:t>wSO</w:t>
      </w:r>
      <w:proofErr w:type="spellEnd"/>
      <w:r>
        <w:t>/</w:t>
      </w:r>
      <w:proofErr w:type="gramStart"/>
      <w:r>
        <w:t>L</w:t>
      </w:r>
      <w:r w:rsidRPr="00C80C2A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,</w:t>
      </w:r>
      <w:proofErr w:type="gramEnd"/>
      <w:r>
        <w:t xml:space="preserve"> e armazenar </w:t>
      </w:r>
      <w:proofErr w:type="spellStart"/>
      <w:r>
        <w:t>H</w:t>
      </w:r>
      <w:r w:rsidRPr="00C80C2A">
        <w:rPr>
          <w:vertAlign w:val="subscript"/>
        </w:rPr>
        <w:t>wSO</w:t>
      </w:r>
      <w:proofErr w:type="spellEnd"/>
      <w:r>
        <w:t xml:space="preserve"> </w:t>
      </w:r>
    </w:p>
    <w:p w:rsidR="00C80C2A" w:rsidRDefault="00C80C2A" w:rsidP="00467060">
      <w:pPr>
        <w:pStyle w:val="ListParagraph"/>
        <w:numPr>
          <w:ilvl w:val="0"/>
          <w:numId w:val="1"/>
        </w:numPr>
        <w:spacing w:after="240" w:line="240" w:lineRule="exact"/>
        <w:contextualSpacing w:val="0"/>
      </w:pPr>
      <w:r>
        <w:t xml:space="preserve">Calcular </w:t>
      </w:r>
      <w:proofErr w:type="spellStart"/>
      <w:r>
        <w:t>holdup</w:t>
      </w:r>
      <w:proofErr w:type="spellEnd"/>
      <w:r>
        <w:t xml:space="preserve"> querosene sensor ótico, </w:t>
      </w:r>
      <w:proofErr w:type="spellStart"/>
      <w:r>
        <w:t>H</w:t>
      </w:r>
      <w:r w:rsidRPr="00C80C2A">
        <w:rPr>
          <w:vertAlign w:val="subscript"/>
        </w:rPr>
        <w:t>kSO</w:t>
      </w:r>
      <w:proofErr w:type="spellEnd"/>
      <w:r>
        <w:t xml:space="preserve"> = (L</w:t>
      </w:r>
      <w:r w:rsidRPr="00C80C2A">
        <w:rPr>
          <w:vertAlign w:val="subscript"/>
        </w:rPr>
        <w:t>L</w:t>
      </w:r>
      <w:r>
        <w:t>-</w:t>
      </w:r>
      <w:proofErr w:type="spellStart"/>
      <w:proofErr w:type="gramStart"/>
      <w:r>
        <w:t>L</w:t>
      </w:r>
      <w:r w:rsidRPr="00C80C2A">
        <w:rPr>
          <w:vertAlign w:val="subscript"/>
        </w:rPr>
        <w:t>wSO</w:t>
      </w:r>
      <w:proofErr w:type="spellEnd"/>
      <w:r>
        <w:t>)/</w:t>
      </w:r>
      <w:proofErr w:type="gramEnd"/>
      <w:r>
        <w:t>L</w:t>
      </w:r>
      <w:r w:rsidRPr="00C80C2A">
        <w:rPr>
          <w:vertAlign w:val="subscript"/>
        </w:rPr>
        <w:t>T</w:t>
      </w:r>
      <w:r>
        <w:t xml:space="preserve"> e armazenar </w:t>
      </w:r>
      <w:proofErr w:type="spellStart"/>
      <w:r>
        <w:t>H</w:t>
      </w:r>
      <w:r w:rsidRPr="00C80C2A">
        <w:rPr>
          <w:vertAlign w:val="subscript"/>
        </w:rPr>
        <w:t>kSO</w:t>
      </w:r>
      <w:proofErr w:type="spellEnd"/>
      <w:r>
        <w:t xml:space="preserve">. </w:t>
      </w:r>
    </w:p>
    <w:p w:rsidR="00AB1507" w:rsidRDefault="00AB1507" w:rsidP="00EB376F">
      <w:pPr>
        <w:spacing w:after="240" w:line="240" w:lineRule="exact"/>
        <w:ind w:left="360"/>
      </w:pPr>
    </w:p>
    <w:p w:rsidR="00EB376F" w:rsidRDefault="00EB376F" w:rsidP="00C80C2A">
      <w:pPr>
        <w:pStyle w:val="Heading2"/>
      </w:pPr>
      <w:r>
        <w:t xml:space="preserve">Notação das variáveis para serem implementadas na programação </w:t>
      </w:r>
      <w:proofErr w:type="spellStart"/>
      <w:r>
        <w:t>Lab-View</w:t>
      </w:r>
      <w:proofErr w:type="spellEnd"/>
    </w:p>
    <w:p w:rsidR="00861985" w:rsidRPr="00861985" w:rsidRDefault="00861985" w:rsidP="00861985"/>
    <w:p w:rsidR="00EB376F" w:rsidRDefault="00EB376F" w:rsidP="00AB1507">
      <w:r>
        <w:tab/>
        <w:t>A regra básica é transformar as variáveis em letras maiúsculas. Seguem alguns exemplos</w:t>
      </w:r>
      <w:r w:rsidR="00C80C2A">
        <w:t xml:space="preserve"> na tabela a seguir.</w:t>
      </w:r>
    </w:p>
    <w:p w:rsidR="00EB376F" w:rsidRDefault="00EB376F" w:rsidP="00AB150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3289"/>
        <w:gridCol w:w="1296"/>
      </w:tblGrid>
      <w:tr w:rsidR="00EB376F" w:rsidRPr="009943DB" w:rsidTr="009943DB">
        <w:trPr>
          <w:trHeight w:val="720"/>
          <w:jc w:val="center"/>
        </w:trPr>
        <w:tc>
          <w:tcPr>
            <w:tcW w:w="1296" w:type="dxa"/>
            <w:vAlign w:val="center"/>
          </w:tcPr>
          <w:p w:rsidR="00EB376F" w:rsidRPr="009943DB" w:rsidRDefault="00EB376F" w:rsidP="009943DB">
            <w:pPr>
              <w:jc w:val="center"/>
              <w:rPr>
                <w:b/>
              </w:rPr>
            </w:pPr>
            <w:r w:rsidRPr="009943DB">
              <w:rPr>
                <w:b/>
              </w:rPr>
              <w:t>Variável</w:t>
            </w:r>
          </w:p>
        </w:tc>
        <w:tc>
          <w:tcPr>
            <w:tcW w:w="3289" w:type="dxa"/>
            <w:vAlign w:val="center"/>
          </w:tcPr>
          <w:p w:rsidR="00EB376F" w:rsidRPr="009943DB" w:rsidRDefault="00EB376F" w:rsidP="009943DB">
            <w:pPr>
              <w:jc w:val="center"/>
              <w:rPr>
                <w:b/>
              </w:rPr>
            </w:pPr>
            <w:r w:rsidRPr="009943DB">
              <w:rPr>
                <w:b/>
              </w:rPr>
              <w:t>Descrição</w:t>
            </w:r>
          </w:p>
        </w:tc>
        <w:tc>
          <w:tcPr>
            <w:tcW w:w="1296" w:type="dxa"/>
            <w:vAlign w:val="center"/>
          </w:tcPr>
          <w:p w:rsidR="00EB376F" w:rsidRPr="009943DB" w:rsidRDefault="00EB376F" w:rsidP="009943DB">
            <w:pPr>
              <w:spacing w:line="240" w:lineRule="exact"/>
              <w:jc w:val="center"/>
              <w:rPr>
                <w:b/>
              </w:rPr>
            </w:pPr>
            <w:r w:rsidRPr="009943DB">
              <w:rPr>
                <w:b/>
              </w:rPr>
              <w:t xml:space="preserve">Notação </w:t>
            </w:r>
            <w:proofErr w:type="spellStart"/>
            <w:r w:rsidRPr="009943DB">
              <w:rPr>
                <w:b/>
              </w:rPr>
              <w:t>pgr</w:t>
            </w:r>
            <w:proofErr w:type="spellEnd"/>
          </w:p>
        </w:tc>
      </w:tr>
      <w:tr w:rsidR="00EB376F" w:rsidTr="009943DB">
        <w:trPr>
          <w:jc w:val="center"/>
        </w:trPr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>
              <w:t>L</w:t>
            </w:r>
            <w:r w:rsidRPr="00E82D83">
              <w:rPr>
                <w:vertAlign w:val="subscript"/>
              </w:rPr>
              <w:t>T</w:t>
            </w:r>
          </w:p>
        </w:tc>
        <w:tc>
          <w:tcPr>
            <w:tcW w:w="3289" w:type="dxa"/>
            <w:vAlign w:val="center"/>
          </w:tcPr>
          <w:p w:rsidR="00EB376F" w:rsidRDefault="009943DB" w:rsidP="004E213E">
            <w:pPr>
              <w:jc w:val="left"/>
            </w:pPr>
            <w:r>
              <w:t xml:space="preserve">Altura </w:t>
            </w:r>
            <w:r w:rsidR="00EB376F">
              <w:t>total coluna</w:t>
            </w:r>
            <w:r>
              <w:t xml:space="preserve"> </w:t>
            </w:r>
            <w:proofErr w:type="spellStart"/>
            <w:r>
              <w:t>W+K+Ar</w:t>
            </w:r>
            <w:proofErr w:type="spellEnd"/>
          </w:p>
        </w:tc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>
              <w:t>LT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 w:rsidRPr="00995833">
              <w:t>L</w:t>
            </w:r>
            <w:r w:rsidRPr="00E82D83">
              <w:rPr>
                <w:vertAlign w:val="subscript"/>
              </w:rPr>
              <w:t>TS</w:t>
            </w:r>
          </w:p>
        </w:tc>
        <w:tc>
          <w:tcPr>
            <w:tcW w:w="3289" w:type="dxa"/>
            <w:vAlign w:val="center"/>
          </w:tcPr>
          <w:p w:rsidR="00EB376F" w:rsidRDefault="00EB376F" w:rsidP="004E213E">
            <w:pPr>
              <w:jc w:val="left"/>
            </w:pPr>
            <w:r>
              <w:t>Coluna de ar acima TPS</w:t>
            </w:r>
          </w:p>
        </w:tc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>
              <w:t>LTS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>
              <w:t>L</w:t>
            </w:r>
            <w:r w:rsidRPr="00E82D83">
              <w:rPr>
                <w:vertAlign w:val="subscript"/>
              </w:rPr>
              <w:t>TI</w:t>
            </w:r>
          </w:p>
        </w:tc>
        <w:tc>
          <w:tcPr>
            <w:tcW w:w="3289" w:type="dxa"/>
            <w:vAlign w:val="center"/>
          </w:tcPr>
          <w:p w:rsidR="00EB376F" w:rsidRDefault="00EB376F" w:rsidP="004E213E">
            <w:pPr>
              <w:jc w:val="left"/>
            </w:pPr>
            <w:r>
              <w:t>Coluna de água abaixo TPI</w:t>
            </w:r>
          </w:p>
        </w:tc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>
              <w:t>LTI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 w:rsidRPr="00995833">
              <w:sym w:font="Symbol" w:char="F072"/>
            </w:r>
            <w:r w:rsidRPr="00E82D83">
              <w:rPr>
                <w:vertAlign w:val="subscript"/>
              </w:rPr>
              <w:t>w</w:t>
            </w:r>
          </w:p>
        </w:tc>
        <w:tc>
          <w:tcPr>
            <w:tcW w:w="3289" w:type="dxa"/>
            <w:vAlign w:val="center"/>
          </w:tcPr>
          <w:p w:rsidR="00EB376F" w:rsidRDefault="00EB376F" w:rsidP="004E213E">
            <w:pPr>
              <w:jc w:val="left"/>
            </w:pPr>
            <w:r>
              <w:t>Densidade água</w:t>
            </w:r>
          </w:p>
        </w:tc>
        <w:tc>
          <w:tcPr>
            <w:tcW w:w="1296" w:type="dxa"/>
            <w:vAlign w:val="center"/>
          </w:tcPr>
          <w:p w:rsidR="00EB376F" w:rsidRDefault="00EB376F" w:rsidP="004E213E">
            <w:pPr>
              <w:jc w:val="center"/>
            </w:pPr>
            <w:r>
              <w:t>RHOW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Pr="00ED1BD5" w:rsidRDefault="00EB376F" w:rsidP="009943DB">
            <w:pPr>
              <w:jc w:val="center"/>
            </w:pPr>
            <w:r w:rsidRPr="00995833">
              <w:sym w:font="Symbol" w:char="F072"/>
            </w:r>
            <w:r>
              <w:rPr>
                <w:vertAlign w:val="subscript"/>
              </w:rPr>
              <w:t xml:space="preserve">K </w:t>
            </w:r>
          </w:p>
        </w:tc>
        <w:tc>
          <w:tcPr>
            <w:tcW w:w="3289" w:type="dxa"/>
          </w:tcPr>
          <w:p w:rsidR="00EB376F" w:rsidRDefault="00EB376F" w:rsidP="004E213E">
            <w:r>
              <w:t>Densidade querosene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RHOK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g</w:t>
            </w:r>
          </w:p>
        </w:tc>
        <w:tc>
          <w:tcPr>
            <w:tcW w:w="3289" w:type="dxa"/>
          </w:tcPr>
          <w:p w:rsidR="00EB376F" w:rsidRDefault="00EB376F" w:rsidP="004E213E">
            <w:r>
              <w:t>Aceleração gravidade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G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proofErr w:type="spellStart"/>
            <w:r>
              <w:t>R</w:t>
            </w:r>
            <w:r w:rsidRPr="00ED1BD5">
              <w:rPr>
                <w:vertAlign w:val="subscript"/>
              </w:rPr>
              <w:t>ar</w:t>
            </w:r>
            <w:proofErr w:type="spellEnd"/>
          </w:p>
        </w:tc>
        <w:tc>
          <w:tcPr>
            <w:tcW w:w="3289" w:type="dxa"/>
          </w:tcPr>
          <w:p w:rsidR="00EB376F" w:rsidRDefault="00EB376F" w:rsidP="004E213E">
            <w:r>
              <w:t>Constante do ar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RAR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lastRenderedPageBreak/>
              <w:t>P</w:t>
            </w:r>
            <w:r w:rsidRPr="009943DB">
              <w:rPr>
                <w:vertAlign w:val="subscript"/>
              </w:rPr>
              <w:t>1</w:t>
            </w:r>
          </w:p>
        </w:tc>
        <w:tc>
          <w:tcPr>
            <w:tcW w:w="3289" w:type="dxa"/>
          </w:tcPr>
          <w:p w:rsidR="00EB376F" w:rsidRDefault="009943DB" w:rsidP="004E213E">
            <w:r>
              <w:t>Pressão medidor 1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P1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P</w:t>
            </w:r>
            <w:r w:rsidRPr="009943DB">
              <w:rPr>
                <w:vertAlign w:val="subscript"/>
              </w:rPr>
              <w:t>2</w:t>
            </w:r>
          </w:p>
        </w:tc>
        <w:tc>
          <w:tcPr>
            <w:tcW w:w="3289" w:type="dxa"/>
          </w:tcPr>
          <w:p w:rsidR="00EB376F" w:rsidRDefault="009943DB" w:rsidP="009943DB">
            <w:r>
              <w:t>Pressão medidor 2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P2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proofErr w:type="spellStart"/>
            <w:r>
              <w:t>P</w:t>
            </w:r>
            <w:r w:rsidRPr="00542AC0">
              <w:rPr>
                <w:vertAlign w:val="subscript"/>
              </w:rPr>
              <w:t>atm</w:t>
            </w:r>
            <w:proofErr w:type="spellEnd"/>
          </w:p>
        </w:tc>
        <w:tc>
          <w:tcPr>
            <w:tcW w:w="3289" w:type="dxa"/>
          </w:tcPr>
          <w:p w:rsidR="00EB376F" w:rsidRDefault="009943DB" w:rsidP="004E213E">
            <w:r>
              <w:t>Leitura do barômetro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PATM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L</w:t>
            </w:r>
            <w:r w:rsidRPr="00542AC0">
              <w:rPr>
                <w:vertAlign w:val="subscript"/>
              </w:rPr>
              <w:t>L</w:t>
            </w:r>
          </w:p>
        </w:tc>
        <w:tc>
          <w:tcPr>
            <w:tcW w:w="3289" w:type="dxa"/>
          </w:tcPr>
          <w:p w:rsidR="00EB376F" w:rsidRDefault="009943DB" w:rsidP="004E213E">
            <w:r>
              <w:t>Altura coluna fase líquido W+K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LL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EB376F" w:rsidP="004E213E">
            <w:pPr>
              <w:jc w:val="center"/>
            </w:pPr>
            <w:proofErr w:type="spellStart"/>
            <w:r>
              <w:t>L</w:t>
            </w:r>
            <w:r>
              <w:rPr>
                <w:vertAlign w:val="subscript"/>
              </w:rPr>
              <w:t>w</w:t>
            </w:r>
            <w:r w:rsidRPr="005D036B">
              <w:rPr>
                <w:vertAlign w:val="subscript"/>
              </w:rPr>
              <w:t>SO</w:t>
            </w:r>
            <w:proofErr w:type="spellEnd"/>
          </w:p>
        </w:tc>
        <w:tc>
          <w:tcPr>
            <w:tcW w:w="3289" w:type="dxa"/>
          </w:tcPr>
          <w:p w:rsidR="00EB376F" w:rsidRDefault="009943DB" w:rsidP="004E213E">
            <w:r>
              <w:t>Altura água sensor ótico</w:t>
            </w:r>
          </w:p>
        </w:tc>
        <w:tc>
          <w:tcPr>
            <w:tcW w:w="1296" w:type="dxa"/>
          </w:tcPr>
          <w:p w:rsidR="00EB376F" w:rsidRDefault="00EB376F" w:rsidP="004E213E">
            <w:pPr>
              <w:jc w:val="center"/>
            </w:pPr>
            <w:r>
              <w:t>LWSO</w:t>
            </w:r>
          </w:p>
        </w:tc>
      </w:tr>
      <w:tr w:rsidR="00EB376F" w:rsidTr="009943DB">
        <w:trPr>
          <w:jc w:val="center"/>
        </w:trPr>
        <w:tc>
          <w:tcPr>
            <w:tcW w:w="1296" w:type="dxa"/>
          </w:tcPr>
          <w:p w:rsidR="00EB376F" w:rsidRDefault="009943DB" w:rsidP="004E213E">
            <w:pPr>
              <w:jc w:val="center"/>
            </w:pPr>
            <w:r>
              <w:t>P</w:t>
            </w:r>
            <w:r w:rsidRPr="009943DB">
              <w:rPr>
                <w:vertAlign w:val="subscript"/>
              </w:rPr>
              <w:t>M</w:t>
            </w:r>
          </w:p>
        </w:tc>
        <w:tc>
          <w:tcPr>
            <w:tcW w:w="3289" w:type="dxa"/>
          </w:tcPr>
          <w:p w:rsidR="00EB376F" w:rsidRDefault="009943DB" w:rsidP="004E213E">
            <w:r>
              <w:t>Pressão média P</w:t>
            </w:r>
            <w:r w:rsidRPr="009943DB">
              <w:rPr>
                <w:vertAlign w:val="subscript"/>
              </w:rPr>
              <w:t>1</w:t>
            </w:r>
            <w:r>
              <w:t xml:space="preserve"> e P</w:t>
            </w:r>
            <w:r w:rsidRPr="009943DB">
              <w:rPr>
                <w:vertAlign w:val="subscript"/>
              </w:rPr>
              <w:t>2</w:t>
            </w:r>
          </w:p>
        </w:tc>
        <w:tc>
          <w:tcPr>
            <w:tcW w:w="1296" w:type="dxa"/>
          </w:tcPr>
          <w:p w:rsidR="00EB376F" w:rsidRDefault="009943DB" w:rsidP="004E213E">
            <w:pPr>
              <w:jc w:val="center"/>
            </w:pPr>
            <w:r>
              <w:t>PM</w:t>
            </w:r>
          </w:p>
        </w:tc>
      </w:tr>
      <w:tr w:rsidR="009943DB" w:rsidTr="009943DB">
        <w:trPr>
          <w:jc w:val="center"/>
        </w:trPr>
        <w:tc>
          <w:tcPr>
            <w:tcW w:w="1296" w:type="dxa"/>
          </w:tcPr>
          <w:p w:rsidR="009943DB" w:rsidRDefault="009943DB" w:rsidP="004E213E">
            <w:pPr>
              <w:jc w:val="center"/>
            </w:pPr>
            <w:r>
              <w:sym w:font="Symbol" w:char="F044"/>
            </w:r>
            <w:r>
              <w:t>P</w:t>
            </w:r>
            <w:r w:rsidRPr="009943DB">
              <w:rPr>
                <w:vertAlign w:val="subscript"/>
              </w:rPr>
              <w:t>M</w:t>
            </w:r>
          </w:p>
        </w:tc>
        <w:tc>
          <w:tcPr>
            <w:tcW w:w="3289" w:type="dxa"/>
          </w:tcPr>
          <w:p w:rsidR="009943DB" w:rsidRDefault="009943DB" w:rsidP="004E213E">
            <w:r>
              <w:t>Diferença módulo P</w:t>
            </w:r>
            <w:r w:rsidRPr="009943DB">
              <w:rPr>
                <w:vertAlign w:val="subscript"/>
              </w:rPr>
              <w:t>1</w:t>
            </w:r>
            <w:r>
              <w:t>-P</w:t>
            </w:r>
            <w:r w:rsidRPr="009943DB">
              <w:rPr>
                <w:vertAlign w:val="subscript"/>
              </w:rPr>
              <w:t>2</w:t>
            </w:r>
            <w:r>
              <w:t>.</w:t>
            </w:r>
          </w:p>
        </w:tc>
        <w:tc>
          <w:tcPr>
            <w:tcW w:w="1296" w:type="dxa"/>
          </w:tcPr>
          <w:p w:rsidR="009943DB" w:rsidRDefault="009943DB" w:rsidP="004E213E">
            <w:pPr>
              <w:jc w:val="center"/>
            </w:pPr>
            <w:r>
              <w:sym w:font="Symbol" w:char="F044"/>
            </w:r>
            <w:r>
              <w:t>PM</w:t>
            </w:r>
          </w:p>
        </w:tc>
      </w:tr>
    </w:tbl>
    <w:p w:rsidR="00EB376F" w:rsidRDefault="00EB376F" w:rsidP="00AB1507"/>
    <w:p w:rsidR="002A0029" w:rsidRDefault="002A0029" w:rsidP="00AB1507"/>
    <w:p w:rsidR="00AB1507" w:rsidRDefault="00EB376F" w:rsidP="00C80C2A">
      <w:pPr>
        <w:pStyle w:val="Heading2"/>
      </w:pPr>
      <w:r>
        <w:t xml:space="preserve">Variáveis para mostrar na tela do </w:t>
      </w:r>
      <w:proofErr w:type="spellStart"/>
      <w:r>
        <w:t>Lab-View</w:t>
      </w:r>
      <w:proofErr w:type="spellEnd"/>
      <w:r>
        <w:t xml:space="preserve"> na função de </w:t>
      </w:r>
      <w:r w:rsidR="002A0029">
        <w:t>‘m</w:t>
      </w:r>
      <w:r>
        <w:t xml:space="preserve">edidor </w:t>
      </w:r>
      <w:proofErr w:type="spellStart"/>
      <w:r w:rsidR="008E6791">
        <w:t>h</w:t>
      </w:r>
      <w:r>
        <w:t>oldup</w:t>
      </w:r>
      <w:proofErr w:type="spellEnd"/>
      <w:r w:rsidR="002A0029">
        <w:t>’</w:t>
      </w:r>
      <w:bookmarkStart w:id="2" w:name="_GoBack"/>
      <w:bookmarkEnd w:id="2"/>
    </w:p>
    <w:p w:rsidR="00C80C2A" w:rsidRDefault="00C80C2A" w:rsidP="00AB1507"/>
    <w:p w:rsidR="00C80C2A" w:rsidRDefault="00353739" w:rsidP="00AB1507">
      <w:r w:rsidRPr="00353739">
        <w:rPr>
          <w:b/>
        </w:rPr>
        <w:t>Tela 1</w:t>
      </w:r>
      <w:r>
        <w:t xml:space="preserve"> - </w:t>
      </w:r>
      <w:r w:rsidR="00C80C2A">
        <w:t>Para tomada de decisão se aprova ou não a medida é desejável ter as seguintes variáveis na tela:</w:t>
      </w:r>
    </w:p>
    <w:p w:rsidR="00F60C40" w:rsidRDefault="00F60C40" w:rsidP="00F60C40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– Variáveis na tela principal da operação medidor de </w:t>
      </w:r>
      <w:proofErr w:type="spellStart"/>
      <w:r>
        <w:t>holdup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353739" w:rsidTr="00353739">
        <w:trPr>
          <w:trHeight w:val="576"/>
        </w:trPr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Fases</w:t>
            </w:r>
          </w:p>
        </w:tc>
        <w:tc>
          <w:tcPr>
            <w:tcW w:w="4246" w:type="dxa"/>
            <w:gridSpan w:val="2"/>
            <w:vAlign w:val="center"/>
          </w:tcPr>
          <w:p w:rsidR="00353739" w:rsidRDefault="00353739" w:rsidP="00353739">
            <w:pPr>
              <w:jc w:val="center"/>
            </w:pPr>
            <w:r>
              <w:t>Técnica medida 1</w:t>
            </w:r>
          </w:p>
        </w:tc>
        <w:tc>
          <w:tcPr>
            <w:tcW w:w="2124" w:type="dxa"/>
            <w:vAlign w:val="center"/>
          </w:tcPr>
          <w:p w:rsidR="00353739" w:rsidRDefault="00353739" w:rsidP="00353739">
            <w:pPr>
              <w:jc w:val="center"/>
            </w:pPr>
            <w:r>
              <w:t>Técnica medida 2</w:t>
            </w:r>
          </w:p>
        </w:tc>
      </w:tr>
      <w:tr w:rsidR="00353739" w:rsidTr="00353739"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Alturas colunas</w:t>
            </w:r>
          </w:p>
          <w:p w:rsidR="00353739" w:rsidRDefault="00353739" w:rsidP="00353739">
            <w:pPr>
              <w:jc w:val="center"/>
            </w:pPr>
            <w:r>
              <w:t>mm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Holdups</w:t>
            </w:r>
            <w:proofErr w:type="spellEnd"/>
          </w:p>
        </w:tc>
        <w:tc>
          <w:tcPr>
            <w:tcW w:w="2124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Holdups</w:t>
            </w:r>
            <w:proofErr w:type="spellEnd"/>
          </w:p>
        </w:tc>
      </w:tr>
      <w:tr w:rsidR="00353739" w:rsidTr="00353739">
        <w:tc>
          <w:tcPr>
            <w:tcW w:w="2123" w:type="dxa"/>
          </w:tcPr>
          <w:p w:rsidR="00353739" w:rsidRDefault="00353739" w:rsidP="00AB1507">
            <w:r>
              <w:t>Fase ar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La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Ha</w:t>
            </w:r>
          </w:p>
        </w:tc>
        <w:tc>
          <w:tcPr>
            <w:tcW w:w="2124" w:type="dxa"/>
            <w:vAlign w:val="center"/>
          </w:tcPr>
          <w:p w:rsidR="00353739" w:rsidRDefault="00353739" w:rsidP="00353739">
            <w:pPr>
              <w:jc w:val="center"/>
            </w:pPr>
            <w:r>
              <w:t>Ha</w:t>
            </w:r>
          </w:p>
        </w:tc>
      </w:tr>
      <w:tr w:rsidR="00353739" w:rsidTr="00353739">
        <w:tc>
          <w:tcPr>
            <w:tcW w:w="2123" w:type="dxa"/>
          </w:tcPr>
          <w:p w:rsidR="00353739" w:rsidRDefault="00353739" w:rsidP="00AB1507">
            <w:r>
              <w:t>Fase querosene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Lk</w:t>
            </w:r>
            <w:proofErr w:type="spellEnd"/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Hk</w:t>
            </w:r>
            <w:proofErr w:type="spellEnd"/>
          </w:p>
        </w:tc>
        <w:tc>
          <w:tcPr>
            <w:tcW w:w="2124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HkSO</w:t>
            </w:r>
            <w:proofErr w:type="spellEnd"/>
          </w:p>
        </w:tc>
      </w:tr>
      <w:tr w:rsidR="00353739" w:rsidTr="00353739">
        <w:tc>
          <w:tcPr>
            <w:tcW w:w="2123" w:type="dxa"/>
          </w:tcPr>
          <w:p w:rsidR="00353739" w:rsidRDefault="00353739" w:rsidP="00AB1507">
            <w:r>
              <w:t>Fase água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Hw</w:t>
            </w:r>
          </w:p>
        </w:tc>
        <w:tc>
          <w:tcPr>
            <w:tcW w:w="2124" w:type="dxa"/>
            <w:vAlign w:val="center"/>
          </w:tcPr>
          <w:p w:rsidR="00353739" w:rsidRDefault="00353739" w:rsidP="00353739">
            <w:pPr>
              <w:jc w:val="center"/>
            </w:pPr>
            <w:proofErr w:type="spellStart"/>
            <w:r>
              <w:t>HwSO</w:t>
            </w:r>
            <w:proofErr w:type="spellEnd"/>
          </w:p>
        </w:tc>
      </w:tr>
      <w:tr w:rsidR="00353739" w:rsidTr="00353739">
        <w:tc>
          <w:tcPr>
            <w:tcW w:w="2123" w:type="dxa"/>
          </w:tcPr>
          <w:p w:rsidR="00353739" w:rsidRDefault="00353739" w:rsidP="00AB1507">
            <w:r>
              <w:t>Soma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soma</w:t>
            </w:r>
          </w:p>
        </w:tc>
        <w:tc>
          <w:tcPr>
            <w:tcW w:w="2123" w:type="dxa"/>
            <w:vAlign w:val="center"/>
          </w:tcPr>
          <w:p w:rsidR="00353739" w:rsidRDefault="00353739" w:rsidP="00353739">
            <w:pPr>
              <w:jc w:val="center"/>
            </w:pPr>
            <w:r>
              <w:t>soma</w:t>
            </w:r>
          </w:p>
        </w:tc>
        <w:tc>
          <w:tcPr>
            <w:tcW w:w="2124" w:type="dxa"/>
            <w:vAlign w:val="center"/>
          </w:tcPr>
          <w:p w:rsidR="00353739" w:rsidRDefault="00353739" w:rsidP="00353739">
            <w:pPr>
              <w:jc w:val="center"/>
            </w:pPr>
            <w:r>
              <w:t>soma</w:t>
            </w:r>
          </w:p>
        </w:tc>
      </w:tr>
    </w:tbl>
    <w:p w:rsidR="00C80C2A" w:rsidRDefault="00C80C2A" w:rsidP="00AB1507"/>
    <w:p w:rsidR="00353739" w:rsidRDefault="00353739" w:rsidP="00353739">
      <w:pPr>
        <w:ind w:firstLine="708"/>
      </w:pPr>
      <w:r>
        <w:t>Sendo que técnica de medida 1 é a que combina leitura de sensor ótico com medidores de pressão. A técnica de medida 2 é aquela que usa exclusivamente o sensor ótico.</w:t>
      </w:r>
    </w:p>
    <w:p w:rsidR="00353739" w:rsidRDefault="00353739" w:rsidP="00353739">
      <w:pPr>
        <w:ind w:firstLine="708"/>
      </w:pPr>
      <w:r>
        <w:t xml:space="preserve">A tela deve mostrar os valores das variáveis que estão indicados na tabela acima. </w:t>
      </w:r>
    </w:p>
    <w:p w:rsidR="00353739" w:rsidRDefault="00353739" w:rsidP="00AB1507"/>
    <w:p w:rsidR="00F60C40" w:rsidRDefault="00F60C40" w:rsidP="00AB1507">
      <w:r w:rsidRPr="00DB7143">
        <w:rPr>
          <w:b/>
        </w:rPr>
        <w:t>Tela 2</w:t>
      </w:r>
      <w:r>
        <w:t xml:space="preserve"> – Para diagnosticar um problema peço uma </w:t>
      </w:r>
      <w:r w:rsidR="00DB7143">
        <w:t xml:space="preserve">nova </w:t>
      </w:r>
      <w:r>
        <w:t>tela onde mostra os valores das variáveis intermediárias. Esta tela só é aberta acionando um botão na tela. Ela não será usada frequentemente, mas será importante para que possamos corrigir ou diagnosticas onde está o erro.</w:t>
      </w:r>
    </w:p>
    <w:p w:rsidR="00F60C40" w:rsidRDefault="00F60C40" w:rsidP="00AB1507">
      <w:r>
        <w:t>A tela de diagnóstico irá mostrar 4 tabelas</w:t>
      </w:r>
      <w:r w:rsidR="00DB7143">
        <w:t xml:space="preserve"> simultaneamente</w:t>
      </w:r>
      <w:r>
        <w:t>:</w:t>
      </w:r>
    </w:p>
    <w:p w:rsidR="00F60C40" w:rsidRDefault="00F60C40" w:rsidP="00F60C40">
      <w:pPr>
        <w:pStyle w:val="ListParagraph"/>
        <w:numPr>
          <w:ilvl w:val="0"/>
          <w:numId w:val="3"/>
        </w:numPr>
      </w:pPr>
      <w:r>
        <w:t>Mostrar os valores de constantes e leituras que estão apontados na Tabelas 1 e 2.</w:t>
      </w:r>
    </w:p>
    <w:p w:rsidR="00F60C40" w:rsidRDefault="00F60C40" w:rsidP="00F60C40">
      <w:pPr>
        <w:pStyle w:val="ListParagraph"/>
        <w:numPr>
          <w:ilvl w:val="0"/>
          <w:numId w:val="3"/>
        </w:numPr>
      </w:pPr>
      <w:r>
        <w:t>Crie uma tabela para mostrar P</w:t>
      </w:r>
      <w:r w:rsidRPr="00F60C40">
        <w:rPr>
          <w:vertAlign w:val="subscript"/>
        </w:rPr>
        <w:t>M</w:t>
      </w:r>
      <w:r>
        <w:t xml:space="preserve">, </w:t>
      </w:r>
      <w:r>
        <w:sym w:font="Symbol" w:char="F044"/>
      </w:r>
      <w:r>
        <w:t>P</w:t>
      </w:r>
      <w:r w:rsidRPr="00F60C40">
        <w:rPr>
          <w:vertAlign w:val="subscript"/>
        </w:rPr>
        <w:t>M</w:t>
      </w:r>
      <w:r>
        <w:t xml:space="preserve">, </w:t>
      </w:r>
      <w:r>
        <w:sym w:font="Symbol" w:char="F044"/>
      </w:r>
      <w:r>
        <w:t>P</w:t>
      </w:r>
      <w:r w:rsidRPr="00F60C40">
        <w:rPr>
          <w:vertAlign w:val="subscript"/>
        </w:rPr>
        <w:t>M</w:t>
      </w:r>
      <w:r>
        <w:t>/P</w:t>
      </w:r>
      <w:r w:rsidRPr="00F60C40">
        <w:rPr>
          <w:vertAlign w:val="subscript"/>
        </w:rPr>
        <w:t>M</w:t>
      </w:r>
      <w:r>
        <w:t xml:space="preserve"> e </w:t>
      </w:r>
      <w:r>
        <w:sym w:font="Symbol" w:char="F072"/>
      </w:r>
      <w:r w:rsidRPr="00DB7143">
        <w:rPr>
          <w:vertAlign w:val="subscript"/>
        </w:rPr>
        <w:t>ar</w:t>
      </w:r>
      <w:r w:rsidR="00DB7143">
        <w:t xml:space="preserve"> </w:t>
      </w:r>
    </w:p>
    <w:p w:rsidR="00F60C40" w:rsidRDefault="00F60C40" w:rsidP="00F60C40">
      <w:pPr>
        <w:pStyle w:val="ListParagraph"/>
        <w:numPr>
          <w:ilvl w:val="0"/>
          <w:numId w:val="3"/>
        </w:numPr>
      </w:pPr>
      <w:r>
        <w:t xml:space="preserve">Repita a tabela 3. </w:t>
      </w:r>
    </w:p>
    <w:p w:rsidR="002A0029" w:rsidRDefault="002A0029" w:rsidP="002A0029">
      <w:pPr>
        <w:pStyle w:val="ListParagraph"/>
      </w:pPr>
    </w:p>
    <w:p w:rsidR="002A0029" w:rsidRDefault="002A0029" w:rsidP="002A0029">
      <w:pPr>
        <w:pStyle w:val="ListParagraph"/>
      </w:pPr>
    </w:p>
    <w:p w:rsidR="00DB7143" w:rsidRDefault="00DB7143" w:rsidP="00DB7143">
      <w:pPr>
        <w:pStyle w:val="Heading2"/>
      </w:pPr>
      <w:r>
        <w:lastRenderedPageBreak/>
        <w:t>Documentação</w:t>
      </w:r>
    </w:p>
    <w:p w:rsidR="00C80C2A" w:rsidRDefault="00DB7143" w:rsidP="00AB1507">
      <w:r>
        <w:t xml:space="preserve">Sugiro que </w:t>
      </w:r>
      <w:proofErr w:type="spellStart"/>
      <w:r>
        <w:t>vc</w:t>
      </w:r>
      <w:proofErr w:type="spellEnd"/>
      <w:r>
        <w:t xml:space="preserve"> crie um diretório onde podemos armazenar as documentações em geral, de medidor de </w:t>
      </w:r>
      <w:proofErr w:type="spellStart"/>
      <w:r>
        <w:t>Coriolis</w:t>
      </w:r>
      <w:proofErr w:type="spellEnd"/>
      <w:r>
        <w:t xml:space="preserve">, compressor, em fim todos os nossos instrumentos. Devemos armazenar em PDF.  Gostaria que começasse com este documento. O objetivo é que se uma pessoa no futuro queira usar o medidor de </w:t>
      </w:r>
      <w:proofErr w:type="spellStart"/>
      <w:r>
        <w:t>holdup</w:t>
      </w:r>
      <w:proofErr w:type="spellEnd"/>
      <w:r>
        <w:t xml:space="preserve"> possa entender como foi concebido e como foi programado. Na tela principal do medidor de </w:t>
      </w:r>
      <w:proofErr w:type="spellStart"/>
      <w:r>
        <w:t>holdup</w:t>
      </w:r>
      <w:proofErr w:type="spellEnd"/>
      <w:r>
        <w:t xml:space="preserve"> crie um botão ‘documentação’ que tem um link para o arquivo PDF no diretório documentação que </w:t>
      </w:r>
      <w:proofErr w:type="spellStart"/>
      <w:r>
        <w:t>vc</w:t>
      </w:r>
      <w:proofErr w:type="spellEnd"/>
      <w:r>
        <w:t xml:space="preserve"> criou. </w:t>
      </w:r>
    </w:p>
    <w:p w:rsidR="00DB7143" w:rsidRDefault="00DB7143" w:rsidP="00AB1507"/>
    <w:p w:rsidR="00DB7143" w:rsidRDefault="00DB7143" w:rsidP="00DB7143">
      <w:pPr>
        <w:jc w:val="center"/>
      </w:pPr>
      <w:r>
        <w:t>FIM</w:t>
      </w:r>
    </w:p>
    <w:sectPr w:rsidR="00DB7143">
      <w:headerReference w:type="default" r:id="rId39"/>
      <w:footerReference w:type="default" r:id="rId4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34E" w:rsidRDefault="0068134E" w:rsidP="004E213E">
      <w:pPr>
        <w:spacing w:after="0" w:line="240" w:lineRule="auto"/>
      </w:pPr>
      <w:r>
        <w:separator/>
      </w:r>
    </w:p>
  </w:endnote>
  <w:endnote w:type="continuationSeparator" w:id="0">
    <w:p w:rsidR="0068134E" w:rsidRDefault="0068134E" w:rsidP="004E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888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13E" w:rsidRDefault="004E21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79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E213E" w:rsidRDefault="004E2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34E" w:rsidRDefault="0068134E" w:rsidP="004E213E">
      <w:pPr>
        <w:spacing w:after="0" w:line="240" w:lineRule="auto"/>
      </w:pPr>
      <w:r>
        <w:separator/>
      </w:r>
    </w:p>
  </w:footnote>
  <w:footnote w:type="continuationSeparator" w:id="0">
    <w:p w:rsidR="0068134E" w:rsidRDefault="0068134E" w:rsidP="004E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13E" w:rsidRPr="004658EB" w:rsidRDefault="004E213E" w:rsidP="004E213E">
    <w:pPr>
      <w:pStyle w:val="Header"/>
      <w:jc w:val="right"/>
      <w:rPr>
        <w:sz w:val="20"/>
        <w:szCs w:val="20"/>
      </w:rPr>
    </w:pPr>
    <w:r w:rsidRPr="004658EB">
      <w:rPr>
        <w:sz w:val="20"/>
        <w:szCs w:val="20"/>
      </w:rPr>
      <w:t>Versão 1 – 14/04/2020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4170"/>
    <w:multiLevelType w:val="hybridMultilevel"/>
    <w:tmpl w:val="429E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322E4"/>
    <w:multiLevelType w:val="hybridMultilevel"/>
    <w:tmpl w:val="626A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78D"/>
    <w:multiLevelType w:val="hybridMultilevel"/>
    <w:tmpl w:val="EF72A948"/>
    <w:lvl w:ilvl="0" w:tplc="1616C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94"/>
    <w:rsid w:val="00084323"/>
    <w:rsid w:val="000D2D18"/>
    <w:rsid w:val="001546FB"/>
    <w:rsid w:val="00217352"/>
    <w:rsid w:val="002A0029"/>
    <w:rsid w:val="00353739"/>
    <w:rsid w:val="00405451"/>
    <w:rsid w:val="004658EB"/>
    <w:rsid w:val="00467060"/>
    <w:rsid w:val="00475125"/>
    <w:rsid w:val="004E213E"/>
    <w:rsid w:val="00542AC0"/>
    <w:rsid w:val="005D036B"/>
    <w:rsid w:val="00600F96"/>
    <w:rsid w:val="0068134E"/>
    <w:rsid w:val="00805E33"/>
    <w:rsid w:val="00861985"/>
    <w:rsid w:val="00895DCE"/>
    <w:rsid w:val="008E6791"/>
    <w:rsid w:val="008F3294"/>
    <w:rsid w:val="00923424"/>
    <w:rsid w:val="00977B47"/>
    <w:rsid w:val="009943DB"/>
    <w:rsid w:val="00995833"/>
    <w:rsid w:val="00AB1507"/>
    <w:rsid w:val="00B87E89"/>
    <w:rsid w:val="00C62790"/>
    <w:rsid w:val="00C80C2A"/>
    <w:rsid w:val="00CA198A"/>
    <w:rsid w:val="00DB7143"/>
    <w:rsid w:val="00DD0F14"/>
    <w:rsid w:val="00E043A9"/>
    <w:rsid w:val="00E77B78"/>
    <w:rsid w:val="00E82D83"/>
    <w:rsid w:val="00EB376F"/>
    <w:rsid w:val="00ED1BD5"/>
    <w:rsid w:val="00EF4A98"/>
    <w:rsid w:val="00F60C40"/>
    <w:rsid w:val="00FA353A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E93D"/>
  <w15:chartTrackingRefBased/>
  <w15:docId w15:val="{9D6AA231-7700-43F8-B5A0-E23ECA7D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29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83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2D83"/>
    <w:rPr>
      <w:rFonts w:ascii="Arial" w:eastAsiaTheme="majorEastAsia" w:hAnsi="Arial" w:cstheme="majorBidi"/>
      <w:b/>
      <w:sz w:val="28"/>
      <w:szCs w:val="26"/>
    </w:rPr>
  </w:style>
  <w:style w:type="paragraph" w:customStyle="1" w:styleId="Equation">
    <w:name w:val="Equation"/>
    <w:basedOn w:val="Normal"/>
    <w:link w:val="EquationChar"/>
    <w:qFormat/>
    <w:rsid w:val="00405451"/>
    <w:pPr>
      <w:tabs>
        <w:tab w:val="center" w:pos="4320"/>
        <w:tab w:val="right" w:pos="8640"/>
      </w:tabs>
      <w:jc w:val="center"/>
    </w:pPr>
  </w:style>
  <w:style w:type="table" w:styleId="TableGrid">
    <w:name w:val="Table Grid"/>
    <w:basedOn w:val="TableNormal"/>
    <w:uiPriority w:val="39"/>
    <w:rsid w:val="0099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quationChar">
    <w:name w:val="Equation Char"/>
    <w:basedOn w:val="DefaultParagraphFont"/>
    <w:link w:val="Equation"/>
    <w:rsid w:val="0040545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82D83"/>
    <w:pPr>
      <w:spacing w:after="200" w:line="240" w:lineRule="auto"/>
      <w:jc w:val="center"/>
    </w:pPr>
    <w:rPr>
      <w:iCs/>
      <w:color w:val="44546A" w:themeColor="text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2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3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3C57-9311-432F-B2AD-1E18F817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Rosa</dc:creator>
  <cp:keywords/>
  <dc:description/>
  <cp:lastModifiedBy>Eugenio Rosa</cp:lastModifiedBy>
  <cp:revision>6</cp:revision>
  <dcterms:created xsi:type="dcterms:W3CDTF">2020-04-14T10:53:00Z</dcterms:created>
  <dcterms:modified xsi:type="dcterms:W3CDTF">2020-04-14T11:23:00Z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