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9C7A2E"/>
          <w:sz w:val="22"/>
          <w:szCs w:val="22"/>
        </w:rPr>
        <w:t xml:space="preserve">VINI AMARAL</w:t>
      </w:r>
    </w:p>
    <w:p>
      <w:pPr>
        <w:spacing w:after="600"/>
        <w:jc w:val="center"/>
      </w:pPr>
      <w:r>
        <w:rPr>
          <w:color w:val="333333"/>
          <w:sz w:val="20"/>
          <w:szCs w:val="20"/>
        </w:rPr>
        <w:t xml:space="preserve">Taquara/RS</w:t>
      </w:r>
    </w:p>
    <w:p>
      <w:pPr>
        <w:spacing w:after="200" w:before="1200"/>
        <w:jc w:val="center"/>
      </w:pPr>
      <w:r>
        <w:rPr>
          <w:b/>
          <w:bCs/>
          <w:color w:val="1B2A4A"/>
          <w:sz w:val="44"/>
          <w:szCs w:val="44"/>
        </w:rPr>
        <w:t xml:space="preserve">PROJETO DE IMPLEMENTAÇÃO</w:t>
      </w:r>
    </w:p>
    <w:p>
      <w:pPr>
        <w:pBdr>
          <w:bottom w:val="single" w:color="9C7A2E" w:sz="12" w:space="8"/>
        </w:pBdr>
        <w:spacing w:after="100"/>
        <w:jc w:val="center"/>
      </w:pPr>
      <w:r>
        <w:rPr>
          <w:b/>
          <w:bCs/>
          <w:color w:val="9C7A2E"/>
          <w:sz w:val="36"/>
          <w:szCs w:val="36"/>
        </w:rPr>
        <w:t xml:space="preserve">UNIDADE TUDO FÁCIL TAQUARA</w:t>
      </w:r>
    </w:p>
    <w:p>
      <w:pPr>
        <w:spacing w:after="1600" w:before="400"/>
        <w:jc w:val="center"/>
      </w:pPr>
      <w:r>
        <w:rPr>
          <w:i/>
          <w:iCs/>
          <w:color w:val="333333"/>
          <w:sz w:val="24"/>
          <w:szCs w:val="24"/>
        </w:rPr>
        <w:t xml:space="preserve">Proposta de instalação de posto regional de atendimento público integrado no município de Taquara/RS</w:t>
      </w:r>
    </w:p>
    <w:p>
      <w:pPr>
        <w:spacing w:before="2000"/>
        <w:jc w:val="center"/>
      </w:pPr>
      <w:r>
        <w:rPr>
          <w:color w:val="333333"/>
          <w:sz w:val="22"/>
          <w:szCs w:val="22"/>
        </w:rPr>
        <w:t xml:space="preserve">Proponente: Vini Amaral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Destinatários: Prefeitura Municipal de Taquara e Câmara de Vereadores de Taquara</w:t>
      </w:r>
    </w:p>
    <w:p>
      <w:pPr>
        <w:spacing w:before="800"/>
        <w:jc w:val="center"/>
      </w:pPr>
      <w:r>
        <w:rPr>
          <w:color w:val="333333"/>
          <w:sz w:val="22"/>
          <w:szCs w:val="22"/>
        </w:rPr>
        <w:t xml:space="preserve">Taquara/RS, agosto de 2026</w:t>
      </w:r>
    </w:p>
    <w:p>
      <w:r>
        <w:br w:type="page"/>
      </w:r>
    </w:p>
    <w:p>
      <w:pPr>
        <w:pStyle w:val="Heading1"/>
        <w:pBdr>
          <w:bottom w:val="single" w:color="9C7A2E" w:sz="8" w:space="4"/>
        </w:pBdr>
        <w:spacing w:after="200" w:before="400"/>
      </w:pPr>
      <w:r>
        <w:rPr>
          <w:b/>
          <w:bCs/>
          <w:color w:val="1B2A4A"/>
          <w:sz w:val="28"/>
          <w:szCs w:val="28"/>
        </w:rPr>
        <w:t xml:space="preserve">1. Objetivo</w:t>
      </w:r>
    </w:p>
    <w:p>
      <w:pPr>
        <w:spacing w:after="200"/>
        <w:jc w:val="both"/>
      </w:pPr>
      <w:r>
        <w:rPr>
          <w:color w:val="333333"/>
          <w:sz w:val="22"/>
          <w:szCs w:val="22"/>
        </w:rPr>
        <w:t xml:space="preserve">Implantar, no município de Taquara/RS, uma unidade do programa estadual Tudo Fácil (RS), com o propósito de integrar e descentralizar a prestação de serviços públicos essenciais em um único ponto de atendimento. A unidade tem como finalidade atender não apenas a população de Taquara, mas também os moradores dos municípios vizinhos que compõem a Região do Paranhana — Igrejinha, Parobé, Três Coroas e Rolante —, reduzindo deslocamentos e ampliando o acesso da população a serviços administrativos, previdenciários, de trânsito e de utilidade pública.</w:t>
      </w:r>
    </w:p>
    <w:p>
      <w:pPr>
        <w:pStyle w:val="Heading1"/>
        <w:pBdr>
          <w:bottom w:val="single" w:color="9C7A2E" w:sz="8" w:space="4"/>
        </w:pBdr>
        <w:spacing w:after="200" w:before="400"/>
      </w:pPr>
      <w:r>
        <w:rPr>
          <w:b/>
          <w:bCs/>
          <w:color w:val="1B2A4A"/>
          <w:sz w:val="28"/>
          <w:szCs w:val="28"/>
        </w:rPr>
        <w:t xml:space="preserve">2. Escopo de Serviços Proposto</w:t>
      </w:r>
    </w:p>
    <w:p>
      <w:pPr>
        <w:spacing w:after="200"/>
        <w:jc w:val="both"/>
      </w:pPr>
      <w:r>
        <w:rPr>
          <w:color w:val="333333"/>
          <w:sz w:val="22"/>
          <w:szCs w:val="22"/>
        </w:rPr>
        <w:t xml:space="preserve">A unidade proposta reunirá, sob um único teto, o seguinte portfólio completo de serviços públicos: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Balcão Gov.br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Auxílio na criação e recuperação da senha Gov.br.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Orientação para elevação do nível de segurança da conta.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Regularização de dados cadastrais.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Inclusão digital — orientação ao cidadão para utilização da plataforma.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DetranRS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Apresentação de condutor.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Defesa de autuação, SDD (Suspensão do Direito de Dirigir) e CDD (Cassação do Direito de Dirigir).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Recursos de infração, SDD e CDD em 1ª e 2ª instância.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de cópia de AIT (Auto de Infração de Trânsito) e requerimentos.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Orientações e informações dos serviços.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Reclamações, solicitações e sugestões.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Outros protocolos: segunda via de laudo médico, contestação de provas prática/teórica, revisão de apresentação de condutor e complementação de documentação para PROA (restituição de valores).</w:t>
      </w:r>
    </w:p>
    <w:p>
      <w:pPr>
        <w:spacing w:after="200" w:before="80"/>
        <w:jc w:val="both"/>
      </w:pPr>
      <w:r>
        <w:rPr>
          <w:i/>
          <w:iCs/>
          <w:color w:val="333333"/>
          <w:sz w:val="20"/>
          <w:szCs w:val="20"/>
        </w:rPr>
        <w:t xml:space="preserve">Atenção: serviços relacionados a autuações de trânsito ou processos administrativos de competência de outros órgãos e municípios — como DNIT (cód. 300), PRF (cód. 100), EPTC (cód. 288010) ou órgão autuador de outro Estado — não são protocolados pelo Detran RS.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IGP / Departamento de Identificação do 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1ª via da Carteira de Identidade.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2ª via da Carteira de Identidade.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IPE Prev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de renovação de pensão por morte.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de concessão de pensão por morte.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de restabelecimento de pensão por morte.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Serviços para o servidor afastado (contribuição previdenciária para licenciado, cedido ou em mandato eletivo).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Comunicado de óbito.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Serviços para o pensionista relacionados à folha de pagamento.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Isenção de imposto de renda para pensionista.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Certidão de vínculo e/ou habilitação.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Pecúlio.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de cópia de processos diversos.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IPE Saúde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Habilitação de segurado.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Habilitação de dependentes (sem processo).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Inclusão, reingresso e cancelamento de PAC e PAMES.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Emissão de segunda via de boletos (site).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Emissão de segunda via do cartão.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FADERS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da Carteira de Identificação da Pessoa com Transtorno do Espectro do Autismo (CIPTEA).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do Passe Livre Intermunicipal.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Serviços Municipais — 156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Solicitação de limpeza urbana (recolhimento de descarte irregular, informações e reclamações sobre coletas, manutenção de lixeiras públicas).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Tapa-buracos em vias de tráfego de veículos.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Podas de árvores em áreas públicas.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Denúncias para fiscalizações (maus-tratos de animais, comércio irregular, vigilância sanitária).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Serviços Municipais — CORSAN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Segunda via de conta de água.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Alteração da data de vencimento.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Atualização de consumidor e do segundo consumidor.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Baixa em conta paga.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Denúncia de ligação clandestina.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Devolução de importância por duplicidade de pagamento e por pagamento de conta errada.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Exclusão de débito em conta.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Serviços de hidrômetro.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Reclamação da entrega de conta e reclamação da empresa de leitura.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Redução por vazamento.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Revisão de leitura e consumo.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SEFAZ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Entrega do Cartão Cidadão.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Guarda Municipal e Brigada Militar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Apresentação de condutor.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Defesa de autuação.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Recursos de infração.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CORSAN — Atendimento Presencial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2ª via da conta.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Informações sobre os serviços da CORSAN.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RGE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Segunda via de faturas em aberto.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Junta Comercial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33333"/>
          <w:sz w:val="22"/>
          <w:szCs w:val="22"/>
        </w:rPr>
        <w:t xml:space="preserve">Abertura de empresas e demais serviços de registro empresarial.</w:t>
      </w:r>
    </w:p>
    <w:p>
      <w:pPr>
        <w:pStyle w:val="Heading1"/>
        <w:pBdr>
          <w:bottom w:val="single" w:color="9C7A2E" w:sz="8" w:space="4"/>
        </w:pBdr>
        <w:spacing w:after="200" w:before="400"/>
      </w:pPr>
      <w:r>
        <w:rPr>
          <w:b/>
          <w:bCs/>
          <w:color w:val="1B2A4A"/>
          <w:sz w:val="28"/>
          <w:szCs w:val="28"/>
        </w:rPr>
        <w:t xml:space="preserve">3. Justificativa de Localização e Impacto Regional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Polo Estratégico</w:t>
      </w:r>
    </w:p>
    <w:p>
      <w:pPr>
        <w:spacing w:after="200"/>
        <w:jc w:val="both"/>
      </w:pPr>
      <w:r>
        <w:rPr>
          <w:color w:val="333333"/>
          <w:sz w:val="22"/>
          <w:szCs w:val="22"/>
        </w:rPr>
        <w:t xml:space="preserve">Taquara funciona como ponto central de tráfego e acesso entre a Região Metropolitana de Porto Alegre, o Vale do Paranhana e a Serra Gaúcha, o que a qualifica como localização natural para um posto de atendimento de abrangência regional.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Otimização de Espaço</w:t>
      </w:r>
    </w:p>
    <w:p>
      <w:pPr>
        <w:spacing w:after="200"/>
        <w:jc w:val="both"/>
      </w:pPr>
      <w:r>
        <w:rPr>
          <w:color w:val="333333"/>
          <w:sz w:val="22"/>
          <w:szCs w:val="22"/>
        </w:rPr>
        <w:t xml:space="preserve">Propõe-se o aproveitamento da estrutura já existente do SINE e da Polícia Civil em Taquara, centralizando o fluxo de atendimento em um único local acessível à população, com racionalização de custos de instalação e de pessoal.</w:t>
      </w:r>
    </w:p>
    <w:p>
      <w:pPr>
        <w:spacing w:after="120" w:before="200"/>
      </w:pPr>
      <w:r>
        <w:rPr>
          <w:b/>
          <w:bCs/>
          <w:i/>
          <w:iCs/>
          <w:color w:val="1B2A4A"/>
          <w:sz w:val="22"/>
          <w:szCs w:val="22"/>
        </w:rPr>
        <w:t xml:space="preserve">Redução de Deslocamentos</w:t>
      </w:r>
    </w:p>
    <w:p>
      <w:pPr>
        <w:spacing w:after="200"/>
        <w:jc w:val="both"/>
      </w:pPr>
      <w:r>
        <w:rPr>
          <w:color w:val="333333"/>
          <w:sz w:val="22"/>
          <w:szCs w:val="22"/>
        </w:rPr>
        <w:t xml:space="preserve">A unidade evita que os moradores da região precisem se deslocar até Porto Alegre ou Novo Hamburgo para resolver pendências documentais e administrativas, com ganhos diretos em tempo, custo de transporte e produtividade para a população da Região do Paranhana.</w:t>
      </w:r>
    </w:p>
    <w:p>
      <w:pPr>
        <w:pStyle w:val="Heading1"/>
        <w:pBdr>
          <w:bottom w:val="single" w:color="9C7A2E" w:sz="8" w:space="4"/>
        </w:pBdr>
        <w:spacing w:after="200" w:before="400"/>
      </w:pPr>
      <w:r>
        <w:rPr>
          <w:b/>
          <w:bCs/>
          <w:color w:val="1B2A4A"/>
          <w:sz w:val="28"/>
          <w:szCs w:val="28"/>
        </w:rPr>
        <w:t xml:space="preserve">4. Próximos Passos para Mobilização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333333"/>
          <w:sz w:val="22"/>
          <w:szCs w:val="22"/>
        </w:rPr>
        <w:t xml:space="preserve">Formalização da Proposta: </w:t>
      </w:r>
      <w:r>
        <w:rPr>
          <w:color w:val="333333"/>
          <w:sz w:val="22"/>
          <w:szCs w:val="22"/>
        </w:rPr>
        <w:t xml:space="preserve">protocolar o presente projeto na Prefeitura Municipal de Taquara e na Câmara de Vereadores de Taquara.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333333"/>
          <w:sz w:val="22"/>
          <w:szCs w:val="22"/>
        </w:rPr>
        <w:t xml:space="preserve">Engajamento Comunitário: </w:t>
      </w:r>
      <w:r>
        <w:rPr>
          <w:color w:val="333333"/>
          <w:sz w:val="22"/>
          <w:szCs w:val="22"/>
        </w:rPr>
        <w:t xml:space="preserve">coleta de assinaturas, físicas ou digitais, em abaixo-assinado, para comprovação da demanda popular pela implantação da unidade.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color w:val="333333"/>
          <w:sz w:val="22"/>
          <w:szCs w:val="22"/>
        </w:rPr>
        <w:t xml:space="preserve">Articulação Estadual: </w:t>
      </w:r>
      <w:r>
        <w:rPr>
          <w:color w:val="333333"/>
          <w:sz w:val="22"/>
          <w:szCs w:val="22"/>
        </w:rPr>
        <w:t xml:space="preserve">encaminhamento do pleito à Secretaria de Planejamento, Governança e Gestão do Rio Grande do Sul (SPGG) para análise de viabilidade técnica do convênio.</w:t>
      </w:r>
    </w:p>
    <w:p>
      <w:pPr>
        <w:pBdr>
          <w:top w:val="single" w:color="9C7A2E" w:sz="6" w:space="8"/>
        </w:pBdr>
        <w:spacing w:before="600"/>
      </w:pPr>
    </w:p>
    <w:p>
      <w:pPr>
        <w:spacing w:before="300"/>
        <w:jc w:val="center"/>
      </w:pPr>
      <w:r>
        <w:rPr>
          <w:i/>
          <w:iCs/>
          <w:color w:val="333333"/>
          <w:sz w:val="18"/>
          <w:szCs w:val="18"/>
        </w:rPr>
        <w:t xml:space="preserve">Vini Amaral  |  Taquara/RS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31" w:hanging="259"/>
      </w:pPr>
      <w:rPr>
        <w:color w:val="9C7A2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63" w:hanging="259"/>
      </w:pPr>
      <w:rPr>
        <w:color w:val="1B2A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2026-08-19T13:46:48.367Z</dcterms:created>
  <dcterms:modified xsi:type="dcterms:W3CDTF">2026-08-19T13:46:48.380Z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