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925830"/>
            <wp:docPr id="1" name="Picture 1"/>
            <wp:cNvGraphicFramePr>
              <a:graphicFrameLocks noChangeAspect="1"/>
            </wp:cNvGraphicFramePr>
            <a:graphic>
              <a:graphicData uri="http://schemas.openxmlformats.org/drawingml/2006/picture">
                <pic:pic>
                  <pic:nvPicPr>
                    <pic:cNvPr id="0" name="portrait.jpg"/>
                    <pic:cNvPicPr/>
                  </pic:nvPicPr>
                  <pic:blipFill>
                    <a:blip r:embed="rId9"/>
                    <a:stretch>
                      <a:fillRect/>
                    </a:stretch>
                  </pic:blipFill>
                  <pic:spPr>
                    <a:xfrm>
                      <a:off x="0" y="0"/>
                      <a:ext cx="1234440" cy="925830"/>
                    </a:xfrm>
                    <a:prstGeom prst="rect"/>
                  </pic:spPr>
                </pic:pic>
              </a:graphicData>
            </a:graphic>
          </wp:inline>
        </w:drawing>
      </w:r>
    </w:p>
    <w:p>
      <w:pPr>
        <w:jc w:val="center"/>
      </w:pPr>
      <w:r>
        <w:rPr>
          <w:b/>
          <w:color w:val="1D7890"/>
          <w:sz w:val="56"/>
        </w:rPr>
        <w:t>VINÍCIUS BURI LUX</w:t>
      </w:r>
    </w:p>
    <w:p>
      <w:pPr>
        <w:jc w:val="center"/>
      </w:pPr>
      <w:r>
        <w:rPr>
          <w:b/>
          <w:sz w:val="30"/>
        </w:rPr>
        <w:t>Independent Researcher &amp; Builder</w:t>
      </w:r>
    </w:p>
    <w:p>
      <w:pPr>
        <w:jc w:val="center"/>
      </w:pPr>
      <w:r>
        <w:rPr>
          <w:color w:val="B17A2C"/>
          <w:sz w:val="36"/>
        </w:rPr>
        <w:t>Supporting Evidence and Project Record</w:t>
      </w:r>
    </w:p>
    <w:p>
      <w:pPr>
        <w:jc w:val="center"/>
      </w:pPr>
      <w:r>
        <w:rPr>
          <w:i/>
        </w:rPr>
        <w:t>Emergent Ventures Application · 2026</w:t>
      </w:r>
    </w:p>
    <w:p>
      <w:pPr>
        <w:jc w:val="center"/>
      </w:pPr>
      <w:r>
        <w:rPr>
          <w:color w:val="646464"/>
        </w:rPr>
        <w:t>Salvador, Bahia, Brazil</w:t>
      </w:r>
    </w:p>
    <w:p>
      <w:r>
        <w:br w:type="page"/>
      </w:r>
    </w:p>
    <w:p>
      <w:pPr>
        <w:pStyle w:val="Heading1"/>
      </w:pPr>
      <w:r>
        <w:t>Purpose of this document</w:t>
      </w:r>
    </w:p>
    <w:p>
      <w:r>
        <w:t>The Emergent Ventures application is the primary narrative. This document is not intended to replace it or repeat it in full. It is a supporting evidence layer: a compact record of the trajectory, selected public research artifacts, accepted work, infrastructure, and links that allow a reader to verify or investigate further.</w:t>
      </w:r>
    </w:p>
    <w:p>
      <w:r>
        <w:t>The organizing rule is simple: accepted is not submitted; a project page is not automatically a validated product; a hypothesis is not a finding; and a public repository may contain different maturity levels across its components.</w:t>
      </w:r>
    </w:p>
    <w:p>
      <w:pPr>
        <w:pStyle w:val="Heading1"/>
      </w:pPr>
      <w:r>
        <w:t>1. The trajectory in brief</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2324A"/>
          </w:tcPr>
          <w:p>
            <w:r/>
            <w:r>
              <w:rPr>
                <w:b/>
                <w:color w:val="FFFFFF"/>
              </w:rPr>
              <w:t>Period</w:t>
            </w:r>
          </w:p>
        </w:tc>
        <w:tc>
          <w:tcPr>
            <w:tcW w:type="dxa" w:w="4997"/>
            <w:vAlign w:val="center"/>
            <w:shd w:fill="12324A"/>
          </w:tcPr>
          <w:p>
            <w:r/>
            <w:r>
              <w:rPr>
                <w:b/>
                <w:color w:val="FFFFFF"/>
              </w:rPr>
              <w:t>Evidence-bearing milestone</w:t>
            </w:r>
          </w:p>
        </w:tc>
      </w:tr>
      <w:tr>
        <w:tc>
          <w:tcPr>
            <w:tcW w:type="dxa" w:w="4997"/>
            <w:vAlign w:val="center"/>
          </w:tcPr>
          <w:p>
            <w:r/>
            <w:r>
              <w:rPr>
                <w:b/>
                <w:color w:val="1D7890"/>
              </w:rPr>
              <w:t>October 2025</w:t>
            </w:r>
          </w:p>
        </w:tc>
        <w:tc>
          <w:tcPr>
            <w:tcW w:type="dxa" w:w="4997"/>
            <w:vAlign w:val="center"/>
          </w:tcPr>
          <w:p>
            <w:r/>
            <w:r>
              <w:rPr>
                <w:b w:val="0"/>
              </w:rPr>
              <w:t>First public DOI in the current independent research cycle.</w:t>
            </w:r>
          </w:p>
        </w:tc>
      </w:tr>
      <w:tr>
        <w:tc>
          <w:tcPr>
            <w:tcW w:type="dxa" w:w="4997"/>
            <w:vAlign w:val="center"/>
          </w:tcPr>
          <w:p>
            <w:r/>
            <w:r>
              <w:rPr>
                <w:b/>
                <w:color w:val="1D7890"/>
              </w:rPr>
              <w:t>Late 2025</w:t>
            </w:r>
          </w:p>
        </w:tc>
        <w:tc>
          <w:tcPr>
            <w:tcW w:type="dxa" w:w="4997"/>
            <w:vAlign w:val="center"/>
          </w:tcPr>
          <w:p>
            <w:r/>
            <w:r>
              <w:rPr>
                <w:b w:val="0"/>
              </w:rPr>
              <w:t>Investigations into multi-model systems, semantic convergence, attribution instability, and protocol-centric evaluation.</w:t>
            </w:r>
          </w:p>
        </w:tc>
      </w:tr>
      <w:tr>
        <w:tc>
          <w:tcPr>
            <w:tcW w:type="dxa" w:w="4997"/>
            <w:vAlign w:val="center"/>
          </w:tcPr>
          <w:p>
            <w:r/>
            <w:r>
              <w:rPr>
                <w:b/>
                <w:color w:val="1D7890"/>
              </w:rPr>
              <w:t>2026</w:t>
            </w:r>
          </w:p>
        </w:tc>
        <w:tc>
          <w:tcPr>
            <w:tcW w:type="dxa" w:w="4997"/>
            <w:vAlign w:val="center"/>
          </w:tcPr>
          <w:p>
            <w:r/>
            <w:r>
              <w:rPr>
                <w:b w:val="0"/>
              </w:rPr>
              <w:t>Expansion into AI evaluation, scientific discovery, satellite intelligence, territorial transformation, biotechnology intelligence, public-data investigation, and research infrastructure.</w:t>
            </w:r>
          </w:p>
        </w:tc>
      </w:tr>
      <w:tr>
        <w:tc>
          <w:tcPr>
            <w:tcW w:type="dxa" w:w="4997"/>
            <w:vAlign w:val="center"/>
          </w:tcPr>
          <w:p>
            <w:r/>
            <w:r>
              <w:rPr>
                <w:b/>
                <w:color w:val="1D7890"/>
              </w:rPr>
              <w:t>2026</w:t>
            </w:r>
          </w:p>
        </w:tc>
        <w:tc>
          <w:tcPr>
            <w:tcW w:type="dxa" w:w="4997"/>
            <w:vAlign w:val="center"/>
          </w:tcPr>
          <w:p>
            <w:r/>
            <w:r>
              <w:rPr>
                <w:b w:val="0"/>
              </w:rPr>
              <w:t>Two CHI 2026 workshop papers and one IJCAI-ECAI 2026 / GlobalSouthAI workshop paper recorded as accepted in the public evidence register.</w:t>
            </w:r>
          </w:p>
        </w:tc>
      </w:tr>
      <w:tr>
        <w:tc>
          <w:tcPr>
            <w:tcW w:type="dxa" w:w="4997"/>
            <w:vAlign w:val="center"/>
          </w:tcPr>
          <w:p>
            <w:r/>
            <w:r>
              <w:rPr>
                <w:b/>
                <w:color w:val="1D7890"/>
              </w:rPr>
              <w:t>Current</w:t>
            </w:r>
          </w:p>
        </w:tc>
        <w:tc>
          <w:tcPr>
            <w:tcW w:type="dxa" w:w="4997"/>
            <w:vAlign w:val="center"/>
          </w:tcPr>
          <w:p>
            <w:r/>
            <w:r>
              <w:rPr>
                <w:b w:val="0"/>
              </w:rPr>
              <w:t>A growing public layer of repositories, datasets, notebooks, evidence registers, schemas, prototypes, and GitHub Pages.</w:t>
            </w:r>
          </w:p>
        </w:tc>
      </w:tr>
    </w:tbl>
    <w:p>
      <w:pPr>
        <w:pStyle w:val="Heading1"/>
      </w:pPr>
      <w:r>
        <w:t>2. Public research record</w:t>
      </w:r>
    </w:p>
    <w:p>
      <w:r>
        <w:t>The links below are representative rather than exhaustive. The complete public records are maintained by ORCID, OpenReview, GitHub, and the evidence register.</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2324A"/>
          </w:tcPr>
          <w:p>
            <w:r/>
            <w:r>
              <w:rPr>
                <w:b/>
                <w:color w:val="FFFFFF"/>
              </w:rPr>
              <w:t>Title</w:t>
            </w:r>
          </w:p>
        </w:tc>
        <w:tc>
          <w:tcPr>
            <w:tcW w:type="dxa" w:w="1999"/>
            <w:vAlign w:val="center"/>
            <w:shd w:fill="12324A"/>
          </w:tcPr>
          <w:p>
            <w:r/>
            <w:r>
              <w:rPr>
                <w:b/>
                <w:color w:val="FFFFFF"/>
              </w:rPr>
              <w:t>Year</w:t>
            </w:r>
          </w:p>
        </w:tc>
        <w:tc>
          <w:tcPr>
            <w:tcW w:type="dxa" w:w="1999"/>
            <w:vAlign w:val="center"/>
            <w:shd w:fill="12324A"/>
          </w:tcPr>
          <w:p>
            <w:r/>
            <w:r>
              <w:rPr>
                <w:b/>
                <w:color w:val="FFFFFF"/>
              </w:rPr>
              <w:t>Venue / repository</w:t>
            </w:r>
          </w:p>
        </w:tc>
        <w:tc>
          <w:tcPr>
            <w:tcW w:type="dxa" w:w="1999"/>
            <w:vAlign w:val="center"/>
            <w:shd w:fill="12324A"/>
          </w:tcPr>
          <w:p>
            <w:r/>
            <w:r>
              <w:rPr>
                <w:b/>
                <w:color w:val="FFFFFF"/>
              </w:rPr>
              <w:t>Status</w:t>
            </w:r>
          </w:p>
        </w:tc>
        <w:tc>
          <w:tcPr>
            <w:tcW w:type="dxa" w:w="1999"/>
            <w:vAlign w:val="center"/>
            <w:shd w:fill="12324A"/>
          </w:tcPr>
          <w:p>
            <w:r/>
            <w:r>
              <w:rPr>
                <w:b/>
                <w:color w:val="FFFFFF"/>
              </w:rPr>
              <w:t>Link</w:t>
            </w:r>
          </w:p>
        </w:tc>
      </w:tr>
      <w:tr>
        <w:tc>
          <w:tcPr>
            <w:tcW w:type="dxa" w:w="1999"/>
            <w:vAlign w:val="center"/>
          </w:tcPr>
          <w:p>
            <w:r/>
            <w:r>
              <w:rPr>
                <w:b w:val="0"/>
              </w:rPr>
              <w:t>A Replicable Protocol for Assessing Semantic Coherence…</w:t>
            </w:r>
          </w:p>
        </w:tc>
        <w:tc>
          <w:tcPr>
            <w:tcW w:type="dxa" w:w="1999"/>
            <w:vAlign w:val="center"/>
          </w:tcPr>
          <w:p>
            <w:r/>
            <w:r>
              <w:rPr>
                <w:b w:val="0"/>
              </w:rPr>
              <w:t>2026</w:t>
            </w:r>
          </w:p>
        </w:tc>
        <w:tc>
          <w:tcPr>
            <w:tcW w:type="dxa" w:w="1999"/>
            <w:vAlign w:val="center"/>
          </w:tcPr>
          <w:p>
            <w:r/>
            <w:r>
              <w:rPr>
                <w:b w:val="0"/>
              </w:rPr>
              <w:t>Zenodo</w:t>
            </w:r>
          </w:p>
        </w:tc>
        <w:tc>
          <w:tcPr>
            <w:tcW w:type="dxa" w:w="1999"/>
            <w:vAlign w:val="center"/>
          </w:tcPr>
          <w:p>
            <w:r/>
            <w:r>
              <w:rPr>
                <w:b w:val="0"/>
              </w:rPr>
              <w:t>Published artifact</w:t>
            </w:r>
          </w:p>
        </w:tc>
        <w:tc>
          <w:tcPr>
            <w:tcW w:type="dxa" w:w="1999"/>
          </w:tcPr>
          <w:p>
            <w:r/>
            <w:hyperlink r:id="rId10">
              <w:r>
                <w:rPr>
                  <w:color w:val="0563C1"/>
                  <w:u w:val="single"/>
                </w:rPr>
                <w:t>doi.org/10.5281/zenodo.18140977</w:t>
              </w:r>
            </w:hyperlink>
          </w:p>
        </w:tc>
      </w:tr>
      <w:tr>
        <w:tc>
          <w:tcPr>
            <w:tcW w:type="dxa" w:w="1999"/>
            <w:vAlign w:val="center"/>
          </w:tcPr>
          <w:p>
            <w:r/>
            <w:r>
              <w:rPr>
                <w:b w:val="0"/>
              </w:rPr>
              <w:t>Structural Vulnerabilities and Governance Risks…</w:t>
            </w:r>
          </w:p>
        </w:tc>
        <w:tc>
          <w:tcPr>
            <w:tcW w:type="dxa" w:w="1999"/>
            <w:vAlign w:val="center"/>
          </w:tcPr>
          <w:p>
            <w:r/>
            <w:r>
              <w:rPr>
                <w:b w:val="0"/>
              </w:rPr>
              <w:t>2025–26</w:t>
            </w:r>
          </w:p>
        </w:tc>
        <w:tc>
          <w:tcPr>
            <w:tcW w:type="dxa" w:w="1999"/>
            <w:vAlign w:val="center"/>
          </w:tcPr>
          <w:p>
            <w:r/>
            <w:r>
              <w:rPr>
                <w:b w:val="0"/>
              </w:rPr>
              <w:t>Zenodo / SSRN record</w:t>
            </w:r>
          </w:p>
        </w:tc>
        <w:tc>
          <w:tcPr>
            <w:tcW w:type="dxa" w:w="1999"/>
            <w:vAlign w:val="center"/>
          </w:tcPr>
          <w:p>
            <w:r/>
            <w:r>
              <w:rPr>
                <w:b w:val="0"/>
              </w:rPr>
              <w:t>Published/preprint record</w:t>
            </w:r>
          </w:p>
        </w:tc>
        <w:tc>
          <w:tcPr>
            <w:tcW w:type="dxa" w:w="1999"/>
          </w:tcPr>
          <w:p>
            <w:r/>
            <w:hyperlink r:id="rId11">
              <w:r>
                <w:rPr>
                  <w:color w:val="0563C1"/>
                  <w:u w:val="single"/>
                </w:rPr>
                <w:t>doi.org/10.5281/zenodo.18013388</w:t>
              </w:r>
            </w:hyperlink>
          </w:p>
        </w:tc>
      </w:tr>
      <w:tr>
        <w:tc>
          <w:tcPr>
            <w:tcW w:type="dxa" w:w="1999"/>
            <w:vAlign w:val="center"/>
          </w:tcPr>
          <w:p>
            <w:r/>
            <w:r>
              <w:rPr>
                <w:b w:val="0"/>
              </w:rPr>
              <w:t>Beyond Generation: A Technical Framework…</w:t>
            </w:r>
          </w:p>
        </w:tc>
        <w:tc>
          <w:tcPr>
            <w:tcW w:type="dxa" w:w="1999"/>
            <w:vAlign w:val="center"/>
          </w:tcPr>
          <w:p>
            <w:r/>
            <w:r>
              <w:rPr>
                <w:b w:val="0"/>
              </w:rPr>
              <w:t>2025</w:t>
            </w:r>
          </w:p>
        </w:tc>
        <w:tc>
          <w:tcPr>
            <w:tcW w:type="dxa" w:w="1999"/>
            <w:vAlign w:val="center"/>
          </w:tcPr>
          <w:p>
            <w:r/>
            <w:r>
              <w:rPr>
                <w:b w:val="0"/>
              </w:rPr>
              <w:t>Zenodo</w:t>
            </w:r>
          </w:p>
        </w:tc>
        <w:tc>
          <w:tcPr>
            <w:tcW w:type="dxa" w:w="1999"/>
            <w:vAlign w:val="center"/>
          </w:tcPr>
          <w:p>
            <w:r/>
            <w:r>
              <w:rPr>
                <w:b w:val="0"/>
              </w:rPr>
              <w:t>Preprint</w:t>
            </w:r>
          </w:p>
        </w:tc>
        <w:tc>
          <w:tcPr>
            <w:tcW w:type="dxa" w:w="1999"/>
          </w:tcPr>
          <w:p>
            <w:r/>
            <w:hyperlink r:id="rId12">
              <w:r>
                <w:rPr>
                  <w:color w:val="0563C1"/>
                  <w:u w:val="single"/>
                </w:rPr>
                <w:t>doi.org/10.5281/zenodo.18008801</w:t>
              </w:r>
            </w:hyperlink>
          </w:p>
        </w:tc>
      </w:tr>
      <w:tr>
        <w:tc>
          <w:tcPr>
            <w:tcW w:type="dxa" w:w="1999"/>
            <w:vAlign w:val="center"/>
          </w:tcPr>
          <w:p>
            <w:r/>
            <w:r>
              <w:rPr>
                <w:b w:val="0"/>
              </w:rPr>
              <w:t>Territorial Change Detection Under Zero-Budget Constraints</w:t>
            </w:r>
          </w:p>
        </w:tc>
        <w:tc>
          <w:tcPr>
            <w:tcW w:type="dxa" w:w="1999"/>
            <w:vAlign w:val="center"/>
          </w:tcPr>
          <w:p>
            <w:r/>
            <w:r>
              <w:rPr>
                <w:b w:val="0"/>
              </w:rPr>
              <w:t>2026</w:t>
            </w:r>
          </w:p>
        </w:tc>
        <w:tc>
          <w:tcPr>
            <w:tcW w:type="dxa" w:w="1999"/>
            <w:vAlign w:val="center"/>
          </w:tcPr>
          <w:p>
            <w:r/>
            <w:r>
              <w:rPr>
                <w:b w:val="0"/>
              </w:rPr>
              <w:t>GlobalSouthAI / IJCAI-ECAI</w:t>
            </w:r>
          </w:p>
        </w:tc>
        <w:tc>
          <w:tcPr>
            <w:tcW w:type="dxa" w:w="1999"/>
            <w:vAlign w:val="center"/>
          </w:tcPr>
          <w:p>
            <w:r/>
            <w:r>
              <w:rPr>
                <w:b w:val="0"/>
              </w:rPr>
              <w:t>Accepted</w:t>
            </w:r>
          </w:p>
        </w:tc>
        <w:tc>
          <w:tcPr>
            <w:tcW w:type="dxa" w:w="1999"/>
          </w:tcPr>
          <w:p>
            <w:r/>
            <w:hyperlink r:id="rId13">
              <w:r>
                <w:rPr>
                  <w:color w:val="0563C1"/>
                  <w:u w:val="single"/>
                </w:rPr>
                <w:t>OpenReview</w:t>
              </w:r>
            </w:hyperlink>
          </w:p>
        </w:tc>
      </w:tr>
    </w:tbl>
    <w:p>
      <w:pPr>
        <w:pStyle w:val="Heading1"/>
      </w:pPr>
      <w:r>
        <w:t>3. Accepted work</w:t>
      </w:r>
    </w:p>
    <w:p>
      <w:r>
        <w:t>The following items are presented as accepted because the public evidence register links each to a primary OpenReview record. No conditional or unconfirmed item is included in this category.</w:t>
      </w:r>
    </w:p>
    <w:p>
      <w:pPr>
        <w:pStyle w:val="Heading3"/>
      </w:pPr>
      <w:r>
        <w:t>The Illusion of Consensus in Human-Centered Interactive AI</w:t>
      </w:r>
      <w:r>
        <w:t xml:space="preserve"> — CHI 2026 · InterAI Workshop, 3rd edition</w:t>
      </w:r>
    </w:p>
    <w:p>
      <w:r>
        <w:rPr>
          <w:b/>
        </w:rPr>
        <w:t xml:space="preserve">Primary record  </w:t>
      </w:r>
      <w:hyperlink r:id="rId14">
        <w:r>
          <w:rPr>
            <w:color w:val="0563C1"/>
            <w:u w:val="single"/>
          </w:rPr>
          <w:t>https://openreview.net/forum?id=eJtBEBmYGB</w:t>
        </w:r>
      </w:hyperlink>
    </w:p>
    <w:p>
      <w:pPr>
        <w:pStyle w:val="Heading3"/>
      </w:pPr>
      <w:r>
        <w:t>When Humans Become Regime Stabilizers</w:t>
      </w:r>
      <w:r>
        <w:t xml:space="preserve"> — CHI 2026 · HEAL Workshop</w:t>
      </w:r>
    </w:p>
    <w:p>
      <w:r>
        <w:rPr>
          <w:b/>
        </w:rPr>
        <w:t xml:space="preserve">Primary record  </w:t>
      </w:r>
      <w:hyperlink r:id="rId15">
        <w:r>
          <w:rPr>
            <w:color w:val="0563C1"/>
            <w:u w:val="single"/>
          </w:rPr>
          <w:t>https://openreview.net/forum?id=PJNqpu0fKr</w:t>
        </w:r>
      </w:hyperlink>
    </w:p>
    <w:p>
      <w:pPr>
        <w:pStyle w:val="Heading3"/>
      </w:pPr>
      <w:r>
        <w:t>Territorial Change Detection Under Zero-Budget Constraints</w:t>
      </w:r>
      <w:r>
        <w:t xml:space="preserve"> — IJCAI-ECAI 2026 · GlobalSouthAI Workshop</w:t>
      </w:r>
    </w:p>
    <w:p>
      <w:r>
        <w:rPr>
          <w:b/>
        </w:rPr>
        <w:t xml:space="preserve">Primary record  </w:t>
      </w:r>
      <w:hyperlink r:id="rId13">
        <w:r>
          <w:rPr>
            <w:color w:val="0563C1"/>
            <w:u w:val="single"/>
          </w:rPr>
          <w:t>https://openreview.net/forum?id=d89iIi3Z2D</w:t>
        </w:r>
      </w:hyperlink>
    </w:p>
    <w:p>
      <w:r>
        <w:rPr>
          <w:b/>
        </w:rPr>
        <w:t xml:space="preserve">Canonical evidence register  </w:t>
      </w:r>
      <w:hyperlink r:id="rId16">
        <w:r>
          <w:rPr>
            <w:color w:val="0563C1"/>
            <w:u w:val="single"/>
          </w:rPr>
          <w:t>https://viniburilux.github.io/evidence/</w:t>
        </w:r>
      </w:hyperlink>
    </w:p>
    <w:p>
      <w:pPr>
        <w:pStyle w:val="Heading1"/>
      </w:pPr>
      <w:r>
        <w:t>4. Selected projects and infrastructure</w:t>
      </w:r>
    </w:p>
    <w:p>
      <w:pPr>
        <w:pStyle w:val="Heading2"/>
      </w:pPr>
      <w:r>
        <w:t>LUXVERSO Research &amp; Build</w:t>
      </w:r>
    </w:p>
    <w:p>
      <w:r>
        <w:t>A public ecosystem connecting research, infrastructure, projects, and evidence.</w:t>
      </w:r>
    </w:p>
    <w:p>
      <w:r>
        <w:t>Public evidence: Author hub, LUXVERSO page, and project index.</w:t>
      </w:r>
    </w:p>
    <w:p>
      <w:r>
        <w:rPr>
          <w:b/>
        </w:rPr>
        <w:t xml:space="preserve">Status: </w:t>
      </w:r>
      <w:r>
        <w:t>Public ecosystem / active documentation</w:t>
      </w:r>
    </w:p>
    <w:p>
      <w:r>
        <w:rPr>
          <w:b/>
        </w:rPr>
        <w:t xml:space="preserve">Primary link  </w:t>
      </w:r>
      <w:hyperlink r:id="rId17">
        <w:r>
          <w:rPr>
            <w:color w:val="0563C1"/>
            <w:u w:val="single"/>
          </w:rPr>
          <w:t>https://viniburilux.github.io/</w:t>
        </w:r>
      </w:hyperlink>
    </w:p>
    <w:p>
      <w:r>
        <w:rPr>
          <w:b/>
        </w:rPr>
        <w:t xml:space="preserve">Repository / data link  </w:t>
      </w:r>
      <w:hyperlink r:id="rId18">
        <w:r>
          <w:rPr>
            <w:color w:val="0563C1"/>
            <w:u w:val="single"/>
          </w:rPr>
          <w:t>https://viniburilux.github.io/LuxVerso/</w:t>
        </w:r>
      </w:hyperlink>
    </w:p>
    <w:p>
      <w:pPr>
        <w:pStyle w:val="Heading2"/>
      </w:pPr>
      <w:r>
        <w:t>TraceFoundry</w:t>
      </w:r>
    </w:p>
    <w:p>
      <w:r>
        <w:t>Investigation infrastructure for discovery, evidence, provenance, relationships, gaps, manifests, claim audits, and defensible next actions.</w:t>
      </w:r>
    </w:p>
    <w:p>
      <w:r>
        <w:t>Public evidence: Python package, schemas, tests, examples, and extensive technical documentation.</w:t>
      </w:r>
    </w:p>
    <w:p>
      <w:r>
        <w:rPr>
          <w:b/>
        </w:rPr>
        <w:t xml:space="preserve">Status: </w:t>
      </w:r>
      <w:r>
        <w:t>Public infrastructure / active repository</w:t>
      </w:r>
    </w:p>
    <w:p>
      <w:r>
        <w:rPr>
          <w:b/>
        </w:rPr>
        <w:t xml:space="preserve">Primary link  </w:t>
      </w:r>
      <w:hyperlink r:id="rId19">
        <w:r>
          <w:rPr>
            <w:color w:val="0563C1"/>
            <w:u w:val="single"/>
          </w:rPr>
          <w:t>https://github.com/viniburilux/TraceFoundry</w:t>
        </w:r>
      </w:hyperlink>
    </w:p>
    <w:p>
      <w:pPr>
        <w:pStyle w:val="Heading2"/>
      </w:pPr>
      <w:r>
        <w:t>GhostWorks</w:t>
      </w:r>
    </w:p>
    <w:p>
      <w:r>
        <w:t>Territorial intelligence using satellite embeddings, temporal change, similarity search, ranking, maps, and human inspection.</w:t>
      </w:r>
    </w:p>
    <w:p>
      <w:r>
        <w:t>Public evidence: Public cases in Candeias/BA, SIGMINE/Pará, Cerrado trajectories, national TTI, and public visual outputs.</w:t>
      </w:r>
    </w:p>
    <w:p>
      <w:r>
        <w:rPr>
          <w:b/>
        </w:rPr>
        <w:t xml:space="preserve">Status: </w:t>
      </w:r>
      <w:r>
        <w:t>Executed research system with experimental components</w:t>
      </w:r>
    </w:p>
    <w:p>
      <w:r>
        <w:rPr>
          <w:b/>
        </w:rPr>
        <w:t xml:space="preserve">Primary link  </w:t>
      </w:r>
      <w:hyperlink r:id="rId20">
        <w:r>
          <w:rPr>
            <w:color w:val="0563C1"/>
            <w:u w:val="single"/>
          </w:rPr>
          <w:t>https://viniburilux.github.io/ghostworks/</w:t>
        </w:r>
      </w:hyperlink>
    </w:p>
    <w:p>
      <w:r>
        <w:rPr>
          <w:b/>
        </w:rPr>
        <w:t xml:space="preserve">Repository / data link  </w:t>
      </w:r>
      <w:hyperlink r:id="rId21">
        <w:r>
          <w:rPr>
            <w:color w:val="0563C1"/>
            <w:u w:val="single"/>
          </w:rPr>
          <w:t>https://github.com/viniburilux/ghostworks</w:t>
        </w:r>
      </w:hyperlink>
    </w:p>
    <w:p>
      <w:pPr>
        <w:pStyle w:val="Heading2"/>
      </w:pPr>
      <w:r>
        <w:t>TTI Brazil &amp; GhostWorks Atlas</w:t>
      </w:r>
    </w:p>
    <w:p>
      <w:r>
        <w:t>A national territorial-change index and a trajectory dataset for comparing how places move through time.</w:t>
      </w:r>
    </w:p>
    <w:p>
      <w:r>
        <w:t>Public evidence: National raster, CSV datasets, Colab notebook, preprint; Atlas with 887 trajectories across six phenomena.</w:t>
      </w:r>
    </w:p>
    <w:p>
      <w:r>
        <w:rPr>
          <w:b/>
        </w:rPr>
        <w:t xml:space="preserve">Status: </w:t>
      </w:r>
      <w:r>
        <w:t>Public data and research artifacts</w:t>
      </w:r>
    </w:p>
    <w:p>
      <w:r>
        <w:rPr>
          <w:b/>
        </w:rPr>
        <w:t xml:space="preserve">Primary link  </w:t>
      </w:r>
      <w:hyperlink r:id="rId22">
        <w:r>
          <w:rPr>
            <w:color w:val="0563C1"/>
            <w:u w:val="single"/>
          </w:rPr>
          <w:t>https://github.com/viniburilux/TTI_Brazil_2017_2024</w:t>
        </w:r>
      </w:hyperlink>
    </w:p>
    <w:p>
      <w:r>
        <w:rPr>
          <w:b/>
        </w:rPr>
        <w:t xml:space="preserve">Repository / data link  </w:t>
      </w:r>
      <w:hyperlink r:id="rId23">
        <w:r>
          <w:rPr>
            <w:color w:val="0563C1"/>
            <w:u w:val="single"/>
          </w:rPr>
          <w:t>https://github.com/viniburilux/ghostworks-atlas</w:t>
        </w:r>
      </w:hyperlink>
    </w:p>
    <w:p>
      <w:pPr>
        <w:pStyle w:val="Heading2"/>
      </w:pPr>
      <w:r>
        <w:t>Biotechnology Intelligence</w:t>
      </w:r>
    </w:p>
    <w:p>
      <w:r>
        <w:t>Evidence-centered exploration of literature, patents, organisms, processes, actors, relations, and provenance.</w:t>
      </w:r>
    </w:p>
    <w:p>
      <w:r>
        <w:t>Public evidence: Evidence pages, relation maps, public manifests, provenance registers, and a GitHub Pages layer.</w:t>
      </w:r>
    </w:p>
    <w:p>
      <w:r>
        <w:rPr>
          <w:b/>
        </w:rPr>
        <w:t xml:space="preserve">Status: </w:t>
      </w:r>
      <w:r>
        <w:t>Public research layer / exploratory</w:t>
      </w:r>
    </w:p>
    <w:p>
      <w:r>
        <w:rPr>
          <w:b/>
        </w:rPr>
        <w:t xml:space="preserve">Primary link  </w:t>
      </w:r>
      <w:hyperlink r:id="rId24">
        <w:r>
          <w:rPr>
            <w:color w:val="0563C1"/>
            <w:u w:val="single"/>
          </w:rPr>
          <w:t>https://viniburilux.github.io/inteligencia-biotecnologica/</w:t>
        </w:r>
      </w:hyperlink>
    </w:p>
    <w:p>
      <w:r>
        <w:rPr>
          <w:b/>
        </w:rPr>
        <w:t xml:space="preserve">Repository / data link  </w:t>
      </w:r>
      <w:hyperlink r:id="rId25">
        <w:r>
          <w:rPr>
            <w:color w:val="0563C1"/>
            <w:u w:val="single"/>
          </w:rPr>
          <w:t>https://github.com/viniburilux/inteligencia-biotecnologica</w:t>
        </w:r>
      </w:hyperlink>
    </w:p>
    <w:p>
      <w:pPr>
        <w:pStyle w:val="Heading2"/>
      </w:pPr>
      <w:r>
        <w:t>Organoid Intelligence</w:t>
      </w:r>
    </w:p>
    <w:p>
      <w:r>
        <w:t>An evidence-driven investigation of learning, prediction, memory, provenance, and the boundaries of biological interpretation.</w:t>
      </w:r>
    </w:p>
    <w:p>
      <w:r>
        <w:t>Public evidence: Findings, ruled-out paths, research timeline, provenance contradiction, and a bounded synthetic sandbox.</w:t>
      </w:r>
    </w:p>
    <w:p>
      <w:r>
        <w:rPr>
          <w:b/>
        </w:rPr>
        <w:t xml:space="preserve">Status: </w:t>
      </w:r>
      <w:r>
        <w:t>Experimental research record / bounded claims</w:t>
      </w:r>
    </w:p>
    <w:p>
      <w:r>
        <w:rPr>
          <w:b/>
        </w:rPr>
        <w:t xml:space="preserve">Primary link  </w:t>
      </w:r>
      <w:hyperlink r:id="rId26">
        <w:r>
          <w:rPr>
            <w:color w:val="0563C1"/>
            <w:u w:val="single"/>
          </w:rPr>
          <w:t>https://viniburilux.github.io/organoid-intelligence/</w:t>
        </w:r>
      </w:hyperlink>
    </w:p>
    <w:p>
      <w:r>
        <w:rPr>
          <w:b/>
        </w:rPr>
        <w:t xml:space="preserve">Repository / data link  </w:t>
      </w:r>
      <w:hyperlink r:id="rId27">
        <w:r>
          <w:rPr>
            <w:color w:val="0563C1"/>
            <w:u w:val="single"/>
          </w:rPr>
          <w:t>https://github.com/viniburilux/organoid-intelligence</w:t>
        </w:r>
      </w:hyperlink>
    </w:p>
    <w:p>
      <w:pPr>
        <w:pStyle w:val="Heading1"/>
      </w:pPr>
      <w:r>
        <w:t>5. Public evidence map</w:t>
      </w:r>
    </w:p>
    <w:tbl>
      <w:tblPr>
        <w:tblStyle w:val="TableGrid"/>
        <w:tblW w:type="auto" w:w="0"/>
        <w:tblLook w:firstColumn="1" w:firstRow="1" w:lastColumn="0" w:lastRow="0" w:noHBand="0" w:noVBand="1" w:val="04A0"/>
      </w:tblPr>
      <w:tblGrid>
        <w:gridCol w:w="2498"/>
        <w:gridCol w:w="2498"/>
        <w:gridCol w:w="2498"/>
        <w:gridCol w:w="2498"/>
      </w:tblGrid>
      <w:tr>
        <w:tc>
          <w:tcPr>
            <w:tcW w:type="dxa" w:w="2498"/>
            <w:vAlign w:val="center"/>
            <w:shd w:fill="12324A"/>
          </w:tcPr>
          <w:p>
            <w:r/>
            <w:r>
              <w:rPr>
                <w:b/>
                <w:color w:val="FFFFFF"/>
              </w:rPr>
              <w:t>Layer</w:t>
            </w:r>
          </w:p>
        </w:tc>
        <w:tc>
          <w:tcPr>
            <w:tcW w:type="dxa" w:w="2498"/>
            <w:vAlign w:val="center"/>
            <w:shd w:fill="12324A"/>
          </w:tcPr>
          <w:p>
            <w:r/>
            <w:r>
              <w:rPr>
                <w:b/>
                <w:color w:val="FFFFFF"/>
              </w:rPr>
              <w:t>Surface</w:t>
            </w:r>
          </w:p>
        </w:tc>
        <w:tc>
          <w:tcPr>
            <w:tcW w:type="dxa" w:w="2498"/>
            <w:vAlign w:val="center"/>
            <w:shd w:fill="12324A"/>
          </w:tcPr>
          <w:p>
            <w:r/>
            <w:r>
              <w:rPr>
                <w:b/>
                <w:color w:val="FFFFFF"/>
              </w:rPr>
              <w:t>Use</w:t>
            </w:r>
          </w:p>
        </w:tc>
        <w:tc>
          <w:tcPr>
            <w:tcW w:type="dxa" w:w="2498"/>
            <w:vAlign w:val="center"/>
            <w:shd w:fill="12324A"/>
          </w:tcPr>
          <w:p>
            <w:r/>
            <w:r>
              <w:rPr>
                <w:b/>
                <w:color w:val="FFFFFF"/>
              </w:rPr>
              <w:t>Link</w:t>
            </w:r>
          </w:p>
        </w:tc>
      </w:tr>
      <w:tr>
        <w:tc>
          <w:tcPr>
            <w:tcW w:type="dxa" w:w="2498"/>
            <w:vAlign w:val="center"/>
          </w:tcPr>
          <w:p>
            <w:r/>
            <w:r>
              <w:rPr>
                <w:b w:val="0"/>
              </w:rPr>
              <w:t>Research identity</w:t>
            </w:r>
          </w:p>
        </w:tc>
        <w:tc>
          <w:tcPr>
            <w:tcW w:type="dxa" w:w="2498"/>
            <w:vAlign w:val="center"/>
          </w:tcPr>
          <w:p>
            <w:r/>
            <w:r>
              <w:rPr>
                <w:b w:val="0"/>
              </w:rPr>
              <w:t>ORCID</w:t>
            </w:r>
          </w:p>
        </w:tc>
        <w:tc>
          <w:tcPr>
            <w:tcW w:type="dxa" w:w="2498"/>
            <w:vAlign w:val="center"/>
          </w:tcPr>
          <w:p>
            <w:r/>
            <w:r>
              <w:rPr>
                <w:b w:val="0"/>
              </w:rPr>
              <w:t>ORCID record</w:t>
            </w:r>
          </w:p>
        </w:tc>
        <w:tc>
          <w:tcPr>
            <w:tcW w:type="dxa" w:w="2498"/>
          </w:tcPr>
          <w:p>
            <w:r/>
            <w:hyperlink r:id="rId28">
              <w:r>
                <w:rPr>
                  <w:color w:val="0563C1"/>
                  <w:u w:val="single"/>
                </w:rPr>
                <w:t>https://orcid.org/0009-0000-6006-1516</w:t>
              </w:r>
            </w:hyperlink>
          </w:p>
        </w:tc>
      </w:tr>
      <w:tr>
        <w:tc>
          <w:tcPr>
            <w:tcW w:type="dxa" w:w="2498"/>
            <w:vAlign w:val="center"/>
          </w:tcPr>
          <w:p>
            <w:r/>
            <w:r>
              <w:rPr>
                <w:b w:val="0"/>
              </w:rPr>
              <w:t>Peer review and submissions</w:t>
            </w:r>
          </w:p>
        </w:tc>
        <w:tc>
          <w:tcPr>
            <w:tcW w:type="dxa" w:w="2498"/>
            <w:vAlign w:val="center"/>
          </w:tcPr>
          <w:p>
            <w:r/>
            <w:r>
              <w:rPr>
                <w:b w:val="0"/>
              </w:rPr>
              <w:t>OpenReview</w:t>
            </w:r>
          </w:p>
        </w:tc>
        <w:tc>
          <w:tcPr>
            <w:tcW w:type="dxa" w:w="2498"/>
            <w:vAlign w:val="center"/>
          </w:tcPr>
          <w:p>
            <w:r/>
            <w:r>
              <w:rPr>
                <w:b w:val="0"/>
              </w:rPr>
              <w:t>Profile and primary records</w:t>
            </w:r>
          </w:p>
        </w:tc>
        <w:tc>
          <w:tcPr>
            <w:tcW w:type="dxa" w:w="2498"/>
          </w:tcPr>
          <w:p>
            <w:r/>
            <w:hyperlink r:id="rId29">
              <w:r>
                <w:rPr>
                  <w:color w:val="0563C1"/>
                  <w:u w:val="single"/>
                </w:rPr>
                <w:t>https://openreview.net/profile?id=~Vinicius_Buri_Lux1</w:t>
              </w:r>
            </w:hyperlink>
          </w:p>
        </w:tc>
      </w:tr>
      <w:tr>
        <w:tc>
          <w:tcPr>
            <w:tcW w:type="dxa" w:w="2498"/>
            <w:vAlign w:val="center"/>
          </w:tcPr>
          <w:p>
            <w:r/>
            <w:r>
              <w:rPr>
                <w:b w:val="0"/>
              </w:rPr>
              <w:t>Code and infrastructure</w:t>
            </w:r>
          </w:p>
        </w:tc>
        <w:tc>
          <w:tcPr>
            <w:tcW w:type="dxa" w:w="2498"/>
            <w:vAlign w:val="center"/>
          </w:tcPr>
          <w:p>
            <w:r/>
            <w:r>
              <w:rPr>
                <w:b w:val="0"/>
              </w:rPr>
              <w:t>GitHub</w:t>
            </w:r>
          </w:p>
        </w:tc>
        <w:tc>
          <w:tcPr>
            <w:tcW w:type="dxa" w:w="2498"/>
            <w:vAlign w:val="center"/>
          </w:tcPr>
          <w:p>
            <w:r/>
            <w:r>
              <w:rPr>
                <w:b w:val="0"/>
              </w:rPr>
              <w:t>Public repositories</w:t>
            </w:r>
          </w:p>
        </w:tc>
        <w:tc>
          <w:tcPr>
            <w:tcW w:type="dxa" w:w="2498"/>
          </w:tcPr>
          <w:p>
            <w:r/>
            <w:hyperlink r:id="rId30">
              <w:r>
                <w:rPr>
                  <w:color w:val="0563C1"/>
                  <w:u w:val="single"/>
                </w:rPr>
                <w:t>https://github.com/viniburilux</w:t>
              </w:r>
            </w:hyperlink>
          </w:p>
        </w:tc>
      </w:tr>
      <w:tr>
        <w:tc>
          <w:tcPr>
            <w:tcW w:type="dxa" w:w="2498"/>
            <w:vAlign w:val="center"/>
          </w:tcPr>
          <w:p>
            <w:r/>
            <w:r>
              <w:rPr>
                <w:b w:val="0"/>
              </w:rPr>
              <w:t>Public web projects</w:t>
            </w:r>
          </w:p>
        </w:tc>
        <w:tc>
          <w:tcPr>
            <w:tcW w:type="dxa" w:w="2498"/>
            <w:vAlign w:val="center"/>
          </w:tcPr>
          <w:p>
            <w:r/>
            <w:r>
              <w:rPr>
                <w:b w:val="0"/>
              </w:rPr>
              <w:t>GitHub Pages</w:t>
            </w:r>
          </w:p>
        </w:tc>
        <w:tc>
          <w:tcPr>
            <w:tcW w:type="dxa" w:w="2498"/>
            <w:vAlign w:val="center"/>
          </w:tcPr>
          <w:p>
            <w:r/>
            <w:r>
              <w:rPr>
                <w:b w:val="0"/>
              </w:rPr>
              <w:t>Author hub and project pages</w:t>
            </w:r>
          </w:p>
        </w:tc>
        <w:tc>
          <w:tcPr>
            <w:tcW w:type="dxa" w:w="2498"/>
          </w:tcPr>
          <w:p>
            <w:r/>
            <w:hyperlink r:id="rId17">
              <w:r>
                <w:rPr>
                  <w:color w:val="0563C1"/>
                  <w:u w:val="single"/>
                </w:rPr>
                <w:t>https://viniburilux.github.io/</w:t>
              </w:r>
            </w:hyperlink>
          </w:p>
        </w:tc>
      </w:tr>
      <w:tr>
        <w:tc>
          <w:tcPr>
            <w:tcW w:type="dxa" w:w="2498"/>
            <w:vAlign w:val="center"/>
          </w:tcPr>
          <w:p>
            <w:r/>
            <w:r>
              <w:rPr>
                <w:b w:val="0"/>
              </w:rPr>
              <w:t>Accepted work</w:t>
            </w:r>
          </w:p>
        </w:tc>
        <w:tc>
          <w:tcPr>
            <w:tcW w:type="dxa" w:w="2498"/>
            <w:vAlign w:val="center"/>
          </w:tcPr>
          <w:p>
            <w:r/>
            <w:r>
              <w:rPr>
                <w:b w:val="0"/>
              </w:rPr>
              <w:t>Evidence register</w:t>
            </w:r>
          </w:p>
        </w:tc>
        <w:tc>
          <w:tcPr>
            <w:tcW w:type="dxa" w:w="2498"/>
            <w:vAlign w:val="center"/>
          </w:tcPr>
          <w:p>
            <w:r/>
            <w:r>
              <w:rPr>
                <w:b w:val="0"/>
              </w:rPr>
              <w:t>Status distinctions and primary links</w:t>
            </w:r>
          </w:p>
        </w:tc>
        <w:tc>
          <w:tcPr>
            <w:tcW w:type="dxa" w:w="2498"/>
          </w:tcPr>
          <w:p>
            <w:r/>
            <w:hyperlink r:id="rId16">
              <w:r>
                <w:rPr>
                  <w:color w:val="0563C1"/>
                  <w:u w:val="single"/>
                </w:rPr>
                <w:t>https://viniburilux.github.io/evidence/</w:t>
              </w:r>
            </w:hyperlink>
          </w:p>
        </w:tc>
      </w:tr>
      <w:tr>
        <w:tc>
          <w:tcPr>
            <w:tcW w:type="dxa" w:w="2498"/>
            <w:vAlign w:val="center"/>
          </w:tcPr>
          <w:p>
            <w:r/>
            <w:r>
              <w:rPr>
                <w:b w:val="0"/>
              </w:rPr>
              <w:t>Public research artifacts</w:t>
            </w:r>
          </w:p>
        </w:tc>
        <w:tc>
          <w:tcPr>
            <w:tcW w:type="dxa" w:w="2498"/>
            <w:vAlign w:val="center"/>
          </w:tcPr>
          <w:p>
            <w:r/>
            <w:r>
              <w:rPr>
                <w:b w:val="0"/>
              </w:rPr>
              <w:t>Zenodo / DOI</w:t>
            </w:r>
          </w:p>
        </w:tc>
        <w:tc>
          <w:tcPr>
            <w:tcW w:type="dxa" w:w="2498"/>
            <w:vAlign w:val="center"/>
          </w:tcPr>
          <w:p>
            <w:r/>
            <w:r>
              <w:rPr>
                <w:b w:val="0"/>
              </w:rPr>
              <w:t>Selected records above</w:t>
            </w:r>
          </w:p>
        </w:tc>
        <w:tc>
          <w:tcPr>
            <w:tcW w:type="dxa" w:w="2498"/>
          </w:tcPr>
          <w:p>
            <w:r/>
            <w:hyperlink r:id="rId10">
              <w:r>
                <w:rPr>
                  <w:color w:val="0563C1"/>
                  <w:u w:val="single"/>
                </w:rPr>
                <w:t>https://doi.org/10.5281/zenodo.18140977</w:t>
              </w:r>
            </w:hyperlink>
          </w:p>
        </w:tc>
      </w:tr>
    </w:tbl>
    <w:p>
      <w:pPr>
        <w:pStyle w:val="Heading1"/>
      </w:pPr>
      <w:r>
        <w:t>6. Evidence states and limits</w:t>
      </w:r>
    </w:p>
    <w:p>
      <w:r>
        <w:t>The public record uses a small vocabulary to keep the trajectory defensible: Observed, Inferred, Hypothesis, Insufficient, Blocked, Rejected, and Contradicted. This distinction matters across the projects. GhostWorks outputs are not automatic causal explanations. The Organoid Intelligence record preserves negative and provenance results rather than presenting them as biological proof. The biotechnology layer distinguishes observed relations from inferred corridors and application signals. The evidence register keeps conditional acceptance separate from acceptance.</w:t>
      </w:r>
    </w:p>
    <w:p>
      <w:r>
        <w:t>One item remains intentionally excluded from the accepted-work section: a reported ICML workshop conditional acceptance whose title, venue, status, and primary link are not yet sufficiently confirmed in the public record.</w:t>
      </w:r>
    </w:p>
    <w:p>
      <w:pPr>
        <w:pStyle w:val="Heading1"/>
      </w:pPr>
      <w:r>
        <w:t>7. Selected evidence links</w:t>
      </w:r>
    </w:p>
    <w:p>
      <w:r>
        <w:rPr>
          <w:b/>
        </w:rPr>
        <w:t xml:space="preserve">ORCID record  </w:t>
      </w:r>
      <w:hyperlink r:id="rId28">
        <w:r>
          <w:rPr>
            <w:color w:val="0563C1"/>
            <w:u w:val="single"/>
          </w:rPr>
          <w:t>https://orcid.org/0009-0000-6006-1516</w:t>
        </w:r>
      </w:hyperlink>
    </w:p>
    <w:p>
      <w:r>
        <w:rPr>
          <w:b/>
        </w:rPr>
        <w:t xml:space="preserve">OpenReview profile  </w:t>
      </w:r>
      <w:hyperlink r:id="rId29">
        <w:r>
          <w:rPr>
            <w:color w:val="0563C1"/>
            <w:u w:val="single"/>
          </w:rPr>
          <w:t>https://openreview.net/profile?id=~Vinicius_Buri_Lux1</w:t>
        </w:r>
      </w:hyperlink>
    </w:p>
    <w:p>
      <w:r>
        <w:rPr>
          <w:b/>
        </w:rPr>
        <w:t xml:space="preserve">GitHub profile  </w:t>
      </w:r>
      <w:hyperlink r:id="rId30">
        <w:r>
          <w:rPr>
            <w:color w:val="0563C1"/>
            <w:u w:val="single"/>
          </w:rPr>
          <w:t>https://github.com/viniburilux</w:t>
        </w:r>
      </w:hyperlink>
    </w:p>
    <w:p>
      <w:r>
        <w:rPr>
          <w:b/>
        </w:rPr>
        <w:t xml:space="preserve">Evidence register  </w:t>
      </w:r>
      <w:hyperlink r:id="rId16">
        <w:r>
          <w:rPr>
            <w:color w:val="0563C1"/>
            <w:u w:val="single"/>
          </w:rPr>
          <w:t>https://viniburilux.github.io/evidence/</w:t>
        </w:r>
      </w:hyperlink>
    </w:p>
    <w:p>
      <w:r>
        <w:rPr>
          <w:b/>
        </w:rPr>
        <w:t xml:space="preserve">CHI 2026 / Barcelona page  </w:t>
      </w:r>
      <w:hyperlink r:id="rId31">
        <w:r>
          <w:rPr>
            <w:color w:val="0563C1"/>
            <w:u w:val="single"/>
          </w:rPr>
          <w:t>https://viniburilux.github.io/barcelona/</w:t>
        </w:r>
      </w:hyperlink>
    </w:p>
    <w:p>
      <w:r>
        <w:rPr>
          <w:b/>
        </w:rPr>
        <w:t xml:space="preserve">LUXVERSO author hub  </w:t>
      </w:r>
      <w:hyperlink r:id="rId17">
        <w:r>
          <w:rPr>
            <w:color w:val="0563C1"/>
            <w:u w:val="single"/>
          </w:rPr>
          <w:t>https://viniburilux.github.io/</w:t>
        </w:r>
      </w:hyperlink>
    </w:p>
    <w:p>
      <w:r>
        <w:rPr>
          <w:b/>
        </w:rPr>
        <w:t xml:space="preserve">GhostWorks public site  </w:t>
      </w:r>
      <w:hyperlink r:id="rId20">
        <w:r>
          <w:rPr>
            <w:color w:val="0563C1"/>
            <w:u w:val="single"/>
          </w:rPr>
          <w:t>https://viniburilux.github.io/ghostworks/</w:t>
        </w:r>
      </w:hyperlink>
    </w:p>
    <w:p>
      <w:r>
        <w:rPr>
          <w:b/>
        </w:rPr>
        <w:t xml:space="preserve">TraceFoundry repository  </w:t>
      </w:r>
      <w:hyperlink r:id="rId19">
        <w:r>
          <w:rPr>
            <w:color w:val="0563C1"/>
            <w:u w:val="single"/>
          </w:rPr>
          <w:t>https://github.com/viniburilux/TraceFoundry</w:t>
        </w:r>
      </w:hyperlink>
    </w:p>
    <w:p>
      <w:r>
        <w:rPr>
          <w:b/>
        </w:rPr>
        <w:t xml:space="preserve">Biotechnology Intelligence public site  </w:t>
      </w:r>
      <w:hyperlink r:id="rId24">
        <w:r>
          <w:rPr>
            <w:color w:val="0563C1"/>
            <w:u w:val="single"/>
          </w:rPr>
          <w:t>https://viniburilux.github.io/inteligencia-biotecnologica/</w:t>
        </w:r>
      </w:hyperlink>
    </w:p>
    <w:p>
      <w:r>
        <w:rPr>
          <w:b/>
        </w:rPr>
        <w:t xml:space="preserve">Organoid Intelligence public record  </w:t>
      </w:r>
      <w:hyperlink r:id="rId26">
        <w:r>
          <w:rPr>
            <w:color w:val="0563C1"/>
            <w:u w:val="single"/>
          </w:rPr>
          <w:t>https://viniburilux.github.io/organoid-intelligence/</w:t>
        </w:r>
      </w:hyperlink>
    </w:p>
    <w:p>
      <w:r>
        <w:t>This document is a supporting record, not a substitute for the Emergent Ventures application. Its purpose is to make the application’s underlying trajectory easier to verify, inspect, and extend.</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2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789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17A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doi.org/10.5281/zenodo.18140977" TargetMode="External"/><Relationship Id="rId11" Type="http://schemas.openxmlformats.org/officeDocument/2006/relationships/hyperlink" Target="https://doi.org/10.5281/zenodo.18013388" TargetMode="External"/><Relationship Id="rId12" Type="http://schemas.openxmlformats.org/officeDocument/2006/relationships/hyperlink" Target="https://doi.org/10.5281/zenodo.18008801" TargetMode="External"/><Relationship Id="rId13" Type="http://schemas.openxmlformats.org/officeDocument/2006/relationships/hyperlink" Target="https://openreview.net/forum?id=d89iIi3Z2D" TargetMode="External"/><Relationship Id="rId14" Type="http://schemas.openxmlformats.org/officeDocument/2006/relationships/hyperlink" Target="https://openreview.net/forum?id=eJtBEBmYGB" TargetMode="External"/><Relationship Id="rId15" Type="http://schemas.openxmlformats.org/officeDocument/2006/relationships/hyperlink" Target="https://openreview.net/forum?id=PJNqpu0fKr" TargetMode="External"/><Relationship Id="rId16" Type="http://schemas.openxmlformats.org/officeDocument/2006/relationships/hyperlink" Target="https://viniburilux.github.io/evidence/" TargetMode="External"/><Relationship Id="rId17" Type="http://schemas.openxmlformats.org/officeDocument/2006/relationships/hyperlink" Target="https://viniburilux.github.io/" TargetMode="External"/><Relationship Id="rId18" Type="http://schemas.openxmlformats.org/officeDocument/2006/relationships/hyperlink" Target="https://viniburilux.github.io/LuxVerso/" TargetMode="External"/><Relationship Id="rId19" Type="http://schemas.openxmlformats.org/officeDocument/2006/relationships/hyperlink" Target="https://github.com/viniburilux/TraceFoundry" TargetMode="External"/><Relationship Id="rId20" Type="http://schemas.openxmlformats.org/officeDocument/2006/relationships/hyperlink" Target="https://viniburilux.github.io/ghostworks/" TargetMode="External"/><Relationship Id="rId21" Type="http://schemas.openxmlformats.org/officeDocument/2006/relationships/hyperlink" Target="https://github.com/viniburilux/ghostworks" TargetMode="External"/><Relationship Id="rId22" Type="http://schemas.openxmlformats.org/officeDocument/2006/relationships/hyperlink" Target="https://github.com/viniburilux/TTI_Brazil_2017_2024" TargetMode="External"/><Relationship Id="rId23" Type="http://schemas.openxmlformats.org/officeDocument/2006/relationships/hyperlink" Target="https://github.com/viniburilux/ghostworks-atlas" TargetMode="External"/><Relationship Id="rId24" Type="http://schemas.openxmlformats.org/officeDocument/2006/relationships/hyperlink" Target="https://viniburilux.github.io/inteligencia-biotecnologica/" TargetMode="External"/><Relationship Id="rId25" Type="http://schemas.openxmlformats.org/officeDocument/2006/relationships/hyperlink" Target="https://github.com/viniburilux/inteligencia-biotecnologica" TargetMode="External"/><Relationship Id="rId26" Type="http://schemas.openxmlformats.org/officeDocument/2006/relationships/hyperlink" Target="https://viniburilux.github.io/organoid-intelligence/" TargetMode="External"/><Relationship Id="rId27" Type="http://schemas.openxmlformats.org/officeDocument/2006/relationships/hyperlink" Target="https://github.com/viniburilux/organoid-intelligence" TargetMode="External"/><Relationship Id="rId28" Type="http://schemas.openxmlformats.org/officeDocument/2006/relationships/hyperlink" Target="https://orcid.org/0009-0000-6006-1516" TargetMode="External"/><Relationship Id="rId29" Type="http://schemas.openxmlformats.org/officeDocument/2006/relationships/hyperlink" Target="https://openreview.net/profile?id=~Vinicius_Buri_Lux1" TargetMode="External"/><Relationship Id="rId30" Type="http://schemas.openxmlformats.org/officeDocument/2006/relationships/hyperlink" Target="https://github.com/viniburilux" TargetMode="External"/><Relationship Id="rId31" Type="http://schemas.openxmlformats.org/officeDocument/2006/relationships/hyperlink" Target="https://viniburilux.github.io/barcelo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