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Diversificación sectorial y eficiencia productiva en Ecuador, 2000–2024</w:t>
      </w:r>
    </w:p>
    <w:p>
      <w:pPr>
        <w:pStyle w:val="Subtitle"/>
      </w:pPr>
      <w:r>
        <w:t xml:space="preserve">Una evaluación con el índice Herfindahl–Hirschman y análisis envolvente de datos con inferencia bootstrap</w:t>
      </w:r>
    </w:p>
    <w:p>
      <w:pPr>
        <w:pStyle w:val="Author"/>
      </w:pPr>
      <w:r>
        <w:t xml:space="preserve">Econ. Vinicio Arcos</w:t>
      </w:r>
    </w:p>
    <w:p>
      <w:pPr>
        <w:pStyle w:val="Date"/>
      </w:pPr>
      <w:r>
        <w:t xml:space="preserve">2026-06-17</w:t>
      </w:r>
    </w:p>
    <w:p>
      <w:pPr>
        <w:pStyle w:val="AbstractTitle"/>
      </w:pPr>
      <w:r>
        <w:t xml:space="preserve">Resumen</w:t>
      </w:r>
    </w:p>
    <w:p>
      <w:pPr>
        <w:pStyle w:val="Abstract"/>
      </w:pPr>
      <w:r>
        <w:t xml:space="preserve">La dependencia de recursos primarios y la escasa transformación estructural</w:t>
      </w:r>
      <w:r>
        <w:t xml:space="preserve"> </w:t>
      </w:r>
      <w:r>
        <w:t xml:space="preserve">son rasgos persistentes de la economía ecuatoriana. Este trabajo replica y</w:t>
      </w:r>
      <w:r>
        <w:t xml:space="preserve"> </w:t>
      </w:r>
      <w:r>
        <w:t xml:space="preserve">extiende el enfoque de Siddiqui y Afzal (2022) para los Emiratos Árabes</w:t>
      </w:r>
      <w:r>
        <w:t xml:space="preserve"> </w:t>
      </w:r>
      <w:r>
        <w:t xml:space="preserve">Unidos aplicándolo a Ecuador en el periodo 2000–2024. Primero, se mide la</w:t>
      </w:r>
      <w:r>
        <w:t xml:space="preserve"> </w:t>
      </w:r>
      <w:r>
        <w:t xml:space="preserve">concentración sectorial con el índice Herfindahl–Hirschman (HHI) sobre el</w:t>
      </w:r>
      <w:r>
        <w:t xml:space="preserve"> </w:t>
      </w:r>
      <w:r>
        <w:t xml:space="preserve">Valor Agregado Bruto de siete ramas ISIC de la base de Cuentas Nacionales de</w:t>
      </w:r>
      <w:r>
        <w:t xml:space="preserve"> </w:t>
      </w:r>
      <w:r>
        <w:t xml:space="preserve">la UNSD. Segundo, se evalúa la eficiencia técnica con un modelo de análisis</w:t>
      </w:r>
      <w:r>
        <w:t xml:space="preserve"> </w:t>
      </w:r>
      <w:r>
        <w:t xml:space="preserve">envolvente de datos (DEA) CCR orientado a insumos, especificado como una</w:t>
      </w:r>
      <w:r>
        <w:t xml:space="preserve"> </w:t>
      </w:r>
      <w:r>
        <w:t xml:space="preserve">frontera de producción genuina —trabajo (empleo) y capital (formación bruta</w:t>
      </w:r>
      <w:r>
        <w:t xml:space="preserve"> </w:t>
      </w:r>
      <w:r>
        <w:t xml:space="preserve">de capital fijo) como insumos independientes que generan valor agregado— con</w:t>
      </w:r>
      <w:r>
        <w:t xml:space="preserve"> </w:t>
      </w:r>
      <w:r>
        <w:t xml:space="preserve">la unidad de decisión definida como el par sector-año. Tercero, se cuantifica</w:t>
      </w:r>
      <w:r>
        <w:t xml:space="preserve"> </w:t>
      </w:r>
      <w:r>
        <w:t xml:space="preserve">la incertidumbre y se corrige el sesgo al alza de las eficiencias DEA mediante</w:t>
      </w:r>
      <w:r>
        <w:t xml:space="preserve"> </w:t>
      </w:r>
      <w:r>
        <w:t xml:space="preserve">el bootstrap homogéneo de Simar y Wilson (1998). Los resultados muestran una</w:t>
      </w:r>
      <w:r>
        <w:t xml:space="preserve"> </w:t>
      </w:r>
      <w:r>
        <w:t xml:space="preserve">economía moderadamente diversificada cuyo HHI aumentó de 0,182 en 2000 a 0,214</w:t>
      </w:r>
      <w:r>
        <w:t xml:space="preserve"> </w:t>
      </w:r>
      <w:r>
        <w:t xml:space="preserve">en 2024, con una concentración creciente entre 2015 y 2020, y una eficiencia</w:t>
      </w:r>
      <w:r>
        <w:t xml:space="preserve"> </w:t>
      </w:r>
      <w:r>
        <w:t xml:space="preserve">técnica heterogénea entre ramas: construcción y minería-utilities operan cerca</w:t>
      </w:r>
      <w:r>
        <w:t xml:space="preserve"> </w:t>
      </w:r>
      <w:r>
        <w:t xml:space="preserve">de la frontera, mientras que agricultura y transporte-comunicación quedan</w:t>
      </w:r>
      <w:r>
        <w:t xml:space="preserve"> </w:t>
      </w:r>
      <w:r>
        <w:t xml:space="preserve">rezagadas. La corrección por sesgo confirma el sesgo determinista del DEA y</w:t>
      </w:r>
      <w:r>
        <w:t xml:space="preserve"> </w:t>
      </w:r>
      <w:r>
        <w:t xml:space="preserve">delimita comparaciones robustas. Se discuten implicaciones de política para la</w:t>
      </w:r>
      <w:r>
        <w:t xml:space="preserve"> </w:t>
      </w:r>
      <w:r>
        <w:t xml:space="preserve">transformación productiva.</w:t>
      </w:r>
    </w:p>
    <w:bookmarkStart w:id="9" w:name="introducción"/>
    <w:p>
      <w:pPr>
        <w:pStyle w:val="Heading1"/>
      </w:pPr>
      <w:r>
        <w:t xml:space="preserve">Introducción</w:t>
      </w:r>
    </w:p>
    <w:p>
      <w:pPr>
        <w:pStyle w:val="FirstParagraph"/>
      </w:pPr>
      <w:r>
        <w:t xml:space="preserve">La diversificación de la estructura productiva es uno de los determinantes</w:t>
      </w:r>
      <w:r>
        <w:t xml:space="preserve"> </w:t>
      </w:r>
      <w:r>
        <w:t xml:space="preserve">clásicos del desarrollo económico sostenido. Desde los aportes seminales sobre</w:t>
      </w:r>
      <w:r>
        <w:t xml:space="preserve"> </w:t>
      </w:r>
      <w:r>
        <w:t xml:space="preserve">el cambio estructural</w:t>
      </w:r>
      <w:r>
        <w:t xml:space="preserve"> </w:t>
      </w:r>
      <w:r>
        <w:t xml:space="preserve">(Kuznets, 1955; Lewis, 1954)</w:t>
      </w:r>
      <w:r>
        <w:t xml:space="preserve"> </w:t>
      </w:r>
      <w:r>
        <w:t xml:space="preserve">hasta la literatura</w:t>
      </w:r>
      <w:r>
        <w:t xml:space="preserve"> </w:t>
      </w:r>
      <w:r>
        <w:t xml:space="preserve">contemporánea sobre complejidad económica</w:t>
      </w:r>
      <w:r>
        <w:t xml:space="preserve"> </w:t>
      </w:r>
      <w:r>
        <w:t xml:space="preserve">(Hausmann et al., 2007; Hidalgo &amp; Hausmann, 2009)</w:t>
      </w:r>
      <w:r>
        <w:t xml:space="preserve">, la</w:t>
      </w:r>
      <w:r>
        <w:t xml:space="preserve"> </w:t>
      </w:r>
      <w:r>
        <w:t xml:space="preserve">evidencia sugiere que las economías que amplían y sofistican su canasta</w:t>
      </w:r>
      <w:r>
        <w:t xml:space="preserve"> </w:t>
      </w:r>
      <w:r>
        <w:t xml:space="preserve">productiva tienden a crecer más rápido y a ser menos vulnerables a choques</w:t>
      </w:r>
      <w:r>
        <w:t xml:space="preserve"> </w:t>
      </w:r>
      <w:r>
        <w:t xml:space="preserve">externos. La contracara —la concentración en pocos sectores, típicamente</w:t>
      </w:r>
      <w:r>
        <w:t xml:space="preserve"> </w:t>
      </w:r>
      <w:r>
        <w:t xml:space="preserve">basados en recursos naturales— se asocia con volatilidad macroeconómica y, en</w:t>
      </w:r>
      <w:r>
        <w:t xml:space="preserve"> </w:t>
      </w:r>
      <w:r>
        <w:t xml:space="preserve">ciertos contextos, con la denominada</w:t>
      </w:r>
      <w:r>
        <w:t xml:space="preserve"> </w:t>
      </w:r>
      <w:r>
        <w:t xml:space="preserve">“maldición de los recursos”</w:t>
      </w:r>
      <w:r>
        <w:t xml:space="preserve"> </w:t>
      </w:r>
      <w:r>
        <w:t xml:space="preserve">(Gylfason, 2001; Lederman &amp; Maloney, 2007; Sachs &amp; Warner, 1995)</w:t>
      </w:r>
      <w:r>
        <w:t xml:space="preserve">.</w:t>
      </w:r>
    </w:p>
    <w:p>
      <w:pPr>
        <w:pStyle w:val="BodyText"/>
      </w:pPr>
      <w:r>
        <w:t xml:space="preserve">Ecuador es un caso paradigmático de esta tensión. Su matriz productiva ha</w:t>
      </w:r>
      <w:r>
        <w:t xml:space="preserve"> </w:t>
      </w:r>
      <w:r>
        <w:t xml:space="preserve">estado históricamente anclada en la extracción y exportación de petróleo y</w:t>
      </w:r>
      <w:r>
        <w:t xml:space="preserve"> </w:t>
      </w:r>
      <w:r>
        <w:t xml:space="preserve">productos primarios, con episodios recurrentes de vulnerabilidad fiscal y</w:t>
      </w:r>
      <w:r>
        <w:t xml:space="preserve"> </w:t>
      </w:r>
      <w:r>
        <w:t xml:space="preserve">externa asociados a la volatilidad de los precios de las materias primas</w:t>
      </w:r>
      <w:r>
        <w:t xml:space="preserve"> </w:t>
      </w:r>
      <w:r>
        <w:t xml:space="preserve">(Rivera Velasco, 2025; UNCTAD, 2019)</w:t>
      </w:r>
      <w:r>
        <w:t xml:space="preserve">. Comprender el grado de concentración sectorial de</w:t>
      </w:r>
      <w:r>
        <w:t xml:space="preserve"> </w:t>
      </w:r>
      <w:r>
        <w:t xml:space="preserve">su economía, y la eficiencia con que cada sector transforma trabajo y capital en</w:t>
      </w:r>
      <w:r>
        <w:t xml:space="preserve"> </w:t>
      </w:r>
      <w:r>
        <w:t xml:space="preserve">valor agregado, es relevante tanto para el diagnóstico académico como para el</w:t>
      </w:r>
      <w:r>
        <w:t xml:space="preserve"> </w:t>
      </w:r>
      <w:r>
        <w:t xml:space="preserve">diseño de política industrial</w:t>
      </w:r>
      <w:r>
        <w:t xml:space="preserve"> </w:t>
      </w:r>
      <w:r>
        <w:t xml:space="preserve">(</w:t>
      </w:r>
      <w:r>
        <w:t xml:space="preserve">Benhassine et al.</w:t>
      </w:r>
      <w:r>
        <w:t xml:space="preserve">, 2019; Rodrik, 2004)</w:t>
      </w:r>
      <w:r>
        <w:t xml:space="preserve">.</w:t>
      </w:r>
    </w:p>
    <w:p>
      <w:pPr>
        <w:pStyle w:val="BodyText"/>
      </w:pPr>
      <w:r>
        <w:t xml:space="preserve">Este trabajo replica y extiende metodológicamente el estudio de</w:t>
      </w:r>
      <w:r>
        <w:t xml:space="preserve"> </w:t>
      </w:r>
      <w:r>
        <w:t xml:space="preserve">Siddiqui &amp; Afzal (2022)</w:t>
      </w:r>
      <w:r>
        <w:t xml:space="preserve">, quienes evaluaron la diversificación sectorial de los Emiratos</w:t>
      </w:r>
      <w:r>
        <w:t xml:space="preserve"> </w:t>
      </w:r>
      <w:r>
        <w:t xml:space="preserve">Árabes Unidos hacia una economía del conocimiento combinando el índice</w:t>
      </w:r>
      <w:r>
        <w:t xml:space="preserve"> </w:t>
      </w:r>
      <w:r>
        <w:t xml:space="preserve">Herfindahl–Hirschman (HHI) con el análisis envolvente de datos (DEA). Aplicamos</w:t>
      </w:r>
      <w:r>
        <w:t xml:space="preserve"> </w:t>
      </w:r>
      <w:r>
        <w:t xml:space="preserve">ese marco a Ecuador en el periodo 2000–2024 y aportamos tres mejoras</w:t>
      </w:r>
      <w:r>
        <w:t xml:space="preserve"> </w:t>
      </w:r>
      <w:r>
        <w:t xml:space="preserve">metodológicas: (i) una partición sectorial con poder discriminante real, basada</w:t>
      </w:r>
      <w:r>
        <w:t xml:space="preserve"> </w:t>
      </w:r>
      <w:r>
        <w:t xml:space="preserve">en siete ramas ISIC del Valor Agregado Bruto; (ii) un DEA especificado como</w:t>
      </w:r>
      <w:r>
        <w:t xml:space="preserve"> </w:t>
      </w:r>
      <w:r>
        <w:t xml:space="preserve">frontera de producción genuina, con insumos independientes y un número de</w:t>
      </w:r>
      <w:r>
        <w:t xml:space="preserve"> </w:t>
      </w:r>
      <w:r>
        <w:t xml:space="preserve">unidades de decisión que satisface holgadamente la regla de adecuación; y (iii)</w:t>
      </w:r>
      <w:r>
        <w:t xml:space="preserve"> </w:t>
      </w:r>
      <w:r>
        <w:t xml:space="preserve">inferencia estadística mediante el bootstrap de</w:t>
      </w:r>
      <w:r>
        <w:t xml:space="preserve"> </w:t>
      </w:r>
      <w:r>
        <w:t xml:space="preserve">Simar &amp; Wilson (1998)</w:t>
      </w:r>
      <w:r>
        <w:t xml:space="preserve">, que corrige el</w:t>
      </w:r>
      <w:r>
        <w:t xml:space="preserve"> </w:t>
      </w:r>
      <w:r>
        <w:t xml:space="preserve">sesgo determinista de las eficiencias DEA y construye intervalos de confianza.</w:t>
      </w:r>
    </w:p>
    <w:p>
      <w:pPr>
        <w:pStyle w:val="BodyText"/>
      </w:pPr>
      <w:r>
        <w:t xml:space="preserve">El resto del documento se organiza así. La Sección 2 revisa la literatura sobre</w:t>
      </w:r>
      <w:r>
        <w:t xml:space="preserve"> </w:t>
      </w:r>
      <w:r>
        <w:t xml:space="preserve">diversificación, eficiencia y métodos. La Sección 3 describe el contexto</w:t>
      </w:r>
      <w:r>
        <w:t xml:space="preserve"> </w:t>
      </w:r>
      <w:r>
        <w:t xml:space="preserve">ecuatoriano. La Sección 4 detalla los datos y la Sección 5 la metodología. La</w:t>
      </w:r>
      <w:r>
        <w:t xml:space="preserve"> </w:t>
      </w:r>
      <w:r>
        <w:t xml:space="preserve">Sección 6 presenta los resultados, discutidos en la Sección 7. La Sección 8</w:t>
      </w:r>
      <w:r>
        <w:t xml:space="preserve"> </w:t>
      </w:r>
      <w:r>
        <w:t xml:space="preserve">concluye con implicaciones de política y una agenda de investigación.</w:t>
      </w:r>
    </w:p>
    <w:bookmarkEnd w:id="9"/>
    <w:bookmarkStart w:id="13" w:name="revisión-de-literatura"/>
    <w:p>
      <w:pPr>
        <w:pStyle w:val="Heading1"/>
      </w:pPr>
      <w:r>
        <w:t xml:space="preserve">Revisión de literatura</w:t>
      </w:r>
    </w:p>
    <w:bookmarkStart w:id="10" w:name="diversificación-y-desarrollo"/>
    <w:p>
      <w:pPr>
        <w:pStyle w:val="Heading2"/>
      </w:pPr>
      <w:r>
        <w:t xml:space="preserve">Diversificación y desarrollo</w:t>
      </w:r>
    </w:p>
    <w:p>
      <w:pPr>
        <w:pStyle w:val="FirstParagraph"/>
      </w:pPr>
      <w:r>
        <w:t xml:space="preserve">La relación entre estructura productiva y crecimiento ha sido estudiada desde</w:t>
      </w:r>
      <w:r>
        <w:t xml:space="preserve"> </w:t>
      </w:r>
      <w:r>
        <w:t xml:space="preserve">distintos ángulos.</w:t>
      </w:r>
      <w:r>
        <w:t xml:space="preserve"> </w:t>
      </w:r>
      <w:r>
        <w:t xml:space="preserve">Imbs &amp; Wacziarg (2003)</w:t>
      </w:r>
      <w:r>
        <w:t xml:space="preserve"> </w:t>
      </w:r>
      <w:r>
        <w:t xml:space="preserve">documentan que la diversificación sigue una</w:t>
      </w:r>
      <w:r>
        <w:t xml:space="preserve"> </w:t>
      </w:r>
      <w:r>
        <w:t xml:space="preserve">trayectoria no monótona: las economías se diversifican a medida que crecen y</w:t>
      </w:r>
      <w:r>
        <w:t xml:space="preserve"> </w:t>
      </w:r>
      <w:r>
        <w:t xml:space="preserve">solo vuelven a concentrarse en niveles de ingreso muy altos, una regularidad</w:t>
      </w:r>
      <w:r>
        <w:t xml:space="preserve"> </w:t>
      </w:r>
      <w:r>
        <w:t xml:space="preserve">que</w:t>
      </w:r>
      <w:r>
        <w:t xml:space="preserve"> </w:t>
      </w:r>
      <w:r>
        <w:t xml:space="preserve">Cadot et al. (2011)</w:t>
      </w:r>
      <w:r>
        <w:t xml:space="preserve"> </w:t>
      </w:r>
      <w:r>
        <w:t xml:space="preserve">confirman para la diversificación exportadora, identificando una</w:t>
      </w:r>
      <w:r>
        <w:t xml:space="preserve"> </w:t>
      </w:r>
      <w:r>
        <w:t xml:space="preserve">forma de</w:t>
      </w:r>
      <w:r>
        <w:t xml:space="preserve"> </w:t>
      </w:r>
      <w:r>
        <w:t xml:space="preserve">“joroba”</w:t>
      </w:r>
      <w:r>
        <w:t xml:space="preserve">.</w:t>
      </w:r>
      <w:r>
        <w:t xml:space="preserve"> </w:t>
      </w:r>
      <w:r>
        <w:t xml:space="preserve">Hausmann et al. (2007)</w:t>
      </w:r>
      <w:r>
        <w:t xml:space="preserve"> </w:t>
      </w:r>
      <w:r>
        <w:t xml:space="preserve">muestran que no solo importa cuánto se exporta</w:t>
      </w:r>
      <w:r>
        <w:t xml:space="preserve"> </w:t>
      </w:r>
      <w:r>
        <w:t xml:space="preserve">sino</w:t>
      </w:r>
      <w:r>
        <w:t xml:space="preserve"> </w:t>
      </w:r>
      <w:r>
        <w:rPr>
          <w:i/>
          <w:iCs/>
        </w:rPr>
        <w:t xml:space="preserve">qué</w:t>
      </w:r>
      <w:r>
        <w:t xml:space="preserve"> </w:t>
      </w:r>
      <w:r>
        <w:t xml:space="preserve">se exporta, y</w:t>
      </w:r>
      <w:r>
        <w:t xml:space="preserve"> </w:t>
      </w:r>
      <w:r>
        <w:t xml:space="preserve">Hidalgo &amp; Hausmann (2009)</w:t>
      </w:r>
      <w:r>
        <w:t xml:space="preserve"> </w:t>
      </w:r>
      <w:r>
        <w:t xml:space="preserve">formalizan la idea de complejidad</w:t>
      </w:r>
      <w:r>
        <w:t xml:space="preserve"> </w:t>
      </w:r>
      <w:r>
        <w:t xml:space="preserve">económica como capacidad productiva acumulada.</w:t>
      </w:r>
    </w:p>
    <w:p>
      <w:pPr>
        <w:pStyle w:val="BodyText"/>
      </w:pPr>
      <w:r>
        <w:t xml:space="preserve">La diversificación exportadora y su vínculo con el crecimiento han sido</w:t>
      </w:r>
      <w:r>
        <w:t xml:space="preserve"> </w:t>
      </w:r>
      <w:r>
        <w:t xml:space="preserve">examinados ampliamente en economías en desarrollo</w:t>
      </w:r>
      <w:r>
        <w:t xml:space="preserve"> </w:t>
      </w:r>
      <w:r>
        <w:t xml:space="preserve">(Asratie &amp; Mazengia, 2023;</w:t>
      </w:r>
      <w:r>
        <w:t xml:space="preserve"> </w:t>
      </w:r>
      <w:r>
        <w:t xml:space="preserve">Gyebi et al.</w:t>
      </w:r>
      <w:r>
        <w:t xml:space="preserve">, 2017; Hesse, 2008; Hodey et al., 2019;</w:t>
      </w:r>
      <w:r>
        <w:t xml:space="preserve"> </w:t>
      </w:r>
      <w:r>
        <w:t xml:space="preserve">Islam et al.</w:t>
      </w:r>
      <w:r>
        <w:t xml:space="preserve">, 2023; Santos-Paulino, 2010)</w:t>
      </w:r>
      <w:r>
        <w:t xml:space="preserve">. Estos trabajos coinciden en</w:t>
      </w:r>
      <w:r>
        <w:t xml:space="preserve"> </w:t>
      </w:r>
      <w:r>
        <w:t xml:space="preserve">que la diversificación reduce la volatilidad y favorece el crecimiento,</w:t>
      </w:r>
      <w:r>
        <w:t xml:space="preserve"> </w:t>
      </w:r>
      <w:r>
        <w:t xml:space="preserve">especialmente cuando se acompaña de sofisticación tecnológica y desarrollo</w:t>
      </w:r>
      <w:r>
        <w:t xml:space="preserve"> </w:t>
      </w:r>
      <w:r>
        <w:t xml:space="preserve">financiero</w:t>
      </w:r>
      <w:r>
        <w:t xml:space="preserve"> </w:t>
      </w:r>
      <w:r>
        <w:t xml:space="preserve">(Adjasi et al., 2024)</w:t>
      </w:r>
      <w:r>
        <w:t xml:space="preserve">.</w:t>
      </w:r>
    </w:p>
    <w:bookmarkEnd w:id="10"/>
    <w:bookmarkStart w:id="11" w:name="Xc7d5ac3b672c751a5281f889df54124c2756ea2"/>
    <w:p>
      <w:pPr>
        <w:pStyle w:val="Heading2"/>
      </w:pPr>
      <w:r>
        <w:t xml:space="preserve">Dependencia de recursos y transformación estructural</w:t>
      </w:r>
    </w:p>
    <w:p>
      <w:pPr>
        <w:pStyle w:val="FirstParagraph"/>
      </w:pPr>
      <w:r>
        <w:t xml:space="preserve">La hipótesis de la maldición de los recursos sostiene que la abundancia de</w:t>
      </w:r>
      <w:r>
        <w:t xml:space="preserve"> </w:t>
      </w:r>
      <w:r>
        <w:t xml:space="preserve">recursos naturales puede frenar el crecimiento al desincentivar la inversión en</w:t>
      </w:r>
      <w:r>
        <w:t xml:space="preserve"> </w:t>
      </w:r>
      <w:r>
        <w:t xml:space="preserve">capital humano e innovación</w:t>
      </w:r>
      <w:r>
        <w:t xml:space="preserve"> </w:t>
      </w:r>
      <w:r>
        <w:t xml:space="preserve">(Gylfason, 2001; Sachs &amp; Warner, 1995)</w:t>
      </w:r>
      <w:r>
        <w:t xml:space="preserve">. Sin embargo,</w:t>
      </w:r>
      <w:r>
        <w:t xml:space="preserve"> </w:t>
      </w:r>
      <w:r>
        <w:t xml:space="preserve">Lederman &amp; Maloney (2007)</w:t>
      </w:r>
      <w:r>
        <w:t xml:space="preserve"> </w:t>
      </w:r>
      <w:r>
        <w:t xml:space="preserve">matizan que los recursos no son un destino inevitable: la calidad</w:t>
      </w:r>
      <w:r>
        <w:t xml:space="preserve"> </w:t>
      </w:r>
      <w:r>
        <w:t xml:space="preserve">institucional y las políticas determinan si se convierten en bendición o</w:t>
      </w:r>
      <w:r>
        <w:t xml:space="preserve"> </w:t>
      </w:r>
      <w:r>
        <w:t xml:space="preserve">maldición. En América Latina, la persistencia de estructuras primario-exportadoras</w:t>
      </w:r>
      <w:r>
        <w:t xml:space="preserve"> </w:t>
      </w:r>
      <w:r>
        <w:t xml:space="preserve">ha sido objeto de análisis desde la tradición estructuralista</w:t>
      </w:r>
      <w:r>
        <w:t xml:space="preserve"> </w:t>
      </w:r>
      <w:r>
        <w:t xml:space="preserve">(Gaiano, 2010; Prebisch, 1950)</w:t>
      </w:r>
      <w:r>
        <w:t xml:space="preserve"> </w:t>
      </w:r>
      <w:r>
        <w:t xml:space="preserve">hasta estudios recientes sobre energía y cambio</w:t>
      </w:r>
      <w:r>
        <w:t xml:space="preserve"> </w:t>
      </w:r>
      <w:r>
        <w:t xml:space="preserve">estructural en economías dependientes de recursos</w:t>
      </w:r>
      <w:r>
        <w:t xml:space="preserve"> </w:t>
      </w:r>
      <w:r>
        <w:t xml:space="preserve">(Adewuyi &amp; Awodumi, 2017;</w:t>
      </w:r>
      <w:r>
        <w:t xml:space="preserve"> </w:t>
      </w:r>
      <w:r>
        <w:t xml:space="preserve">Sari et al.</w:t>
      </w:r>
      <w:r>
        <w:t xml:space="preserve">, 2025)</w:t>
      </w:r>
      <w:r>
        <w:t xml:space="preserve">.</w:t>
      </w:r>
    </w:p>
    <w:bookmarkEnd w:id="11"/>
    <w:bookmarkStart w:id="12" w:name="Xb94d3f14b3d702437bfa80d9f1cda676f6c318c"/>
    <w:p>
      <w:pPr>
        <w:pStyle w:val="Heading2"/>
      </w:pPr>
      <w:r>
        <w:t xml:space="preserve">Medición de la concentración y la eficiencia</w:t>
      </w:r>
    </w:p>
    <w:p>
      <w:pPr>
        <w:pStyle w:val="FirstParagraph"/>
      </w:pPr>
      <w:r>
        <w:t xml:space="preserve">El índice Herfindahl–Hirschman, cuya paternidad discute el propio</w:t>
      </w:r>
      <w:r>
        <w:t xml:space="preserve"> </w:t>
      </w:r>
      <w:r>
        <w:t xml:space="preserve">Hirschman (1964)</w:t>
      </w:r>
      <w:r>
        <w:t xml:space="preserve"> </w:t>
      </w:r>
      <w:r>
        <w:t xml:space="preserve">y que se remonta a</w:t>
      </w:r>
      <w:r>
        <w:t xml:space="preserve"> </w:t>
      </w:r>
      <w:r>
        <w:t xml:space="preserve">Herfindahl (1950)</w:t>
      </w:r>
      <w:r>
        <w:t xml:space="preserve">, es la medida estándar de</w:t>
      </w:r>
      <w:r>
        <w:t xml:space="preserve"> </w:t>
      </w:r>
      <w:r>
        <w:t xml:space="preserve">concentración. Por su parte, el análisis envolvente de datos, introducido por</w:t>
      </w:r>
      <w:r>
        <w:t xml:space="preserve"> </w:t>
      </w:r>
      <w:r>
        <w:t xml:space="preserve">Charnes et al. (1978)</w:t>
      </w:r>
      <w:r>
        <w:t xml:space="preserve"> </w:t>
      </w:r>
      <w:r>
        <w:t xml:space="preserve">a partir de la noción de eficiencia de</w:t>
      </w:r>
      <w:r>
        <w:t xml:space="preserve"> </w:t>
      </w:r>
      <w:r>
        <w:t xml:space="preserve">Farrell (1957)</w:t>
      </w:r>
      <w:r>
        <w:t xml:space="preserve"> </w:t>
      </w:r>
      <w:r>
        <w:t xml:space="preserve">y extendido a</w:t>
      </w:r>
      <w:r>
        <w:t xml:space="preserve"> </w:t>
      </w:r>
      <w:r>
        <w:t xml:space="preserve">rendimientos variables a escala por</w:t>
      </w:r>
      <w:r>
        <w:t xml:space="preserve"> </w:t>
      </w:r>
      <w:r>
        <w:t xml:space="preserve">Banker et al. (1984)</w:t>
      </w:r>
      <w:r>
        <w:t xml:space="preserve">, permite estimar fronteras de</w:t>
      </w:r>
      <w:r>
        <w:t xml:space="preserve"> </w:t>
      </w:r>
      <w:r>
        <w:t xml:space="preserve">eficiencia sin imponer una forma funcional</w:t>
      </w:r>
      <w:r>
        <w:t xml:space="preserve"> </w:t>
      </w:r>
      <w:r>
        <w:t xml:space="preserve">(Coelli et al., 2005; Cooper et al., 2007)</w:t>
      </w:r>
      <w:r>
        <w:t xml:space="preserve">. Una</w:t>
      </w:r>
      <w:r>
        <w:t xml:space="preserve"> </w:t>
      </w:r>
      <w:r>
        <w:t xml:space="preserve">limitación conocida del DEA es su naturaleza determinista: las eficiencias</w:t>
      </w:r>
      <w:r>
        <w:t xml:space="preserve"> </w:t>
      </w:r>
      <w:r>
        <w:t xml:space="preserve">estimadas están sesgadas al alza y carecen de error estándar.</w:t>
      </w:r>
      <w:r>
        <w:t xml:space="preserve"> </w:t>
      </w:r>
      <w:r>
        <w:t xml:space="preserve">Simar &amp; Wilson (1998)</w:t>
      </w:r>
      <w:r>
        <w:t xml:space="preserve"> </w:t>
      </w:r>
      <w:r>
        <w:t xml:space="preserve">resolvieron este problema con un procedimiento de bootstrap, posteriormente</w:t>
      </w:r>
      <w:r>
        <w:t xml:space="preserve"> </w:t>
      </w:r>
      <w:r>
        <w:t xml:space="preserve">extendido a un marco semiparamétrico en dos etapas por</w:t>
      </w:r>
      <w:r>
        <w:t xml:space="preserve"> </w:t>
      </w:r>
      <w:r>
        <w:t xml:space="preserve">Simar &amp; Wilson (2007)</w:t>
      </w:r>
      <w:r>
        <w:t xml:space="preserve">. La</w:t>
      </w:r>
      <w:r>
        <w:t xml:space="preserve"> </w:t>
      </w:r>
      <w:r>
        <w:t xml:space="preserve">combinación de HHI y DEA aplicada a la diversificación sectorial fue propuesta</w:t>
      </w:r>
      <w:r>
        <w:t xml:space="preserve"> </w:t>
      </w:r>
      <w:r>
        <w:t xml:space="preserve">por</w:t>
      </w:r>
      <w:r>
        <w:t xml:space="preserve"> </w:t>
      </w:r>
      <w:r>
        <w:t xml:space="preserve">Siddiqui &amp; Afzal (2022)</w:t>
      </w:r>
      <w:r>
        <w:t xml:space="preserve">, marco que este trabajo replica y refina. Estudios sobre</w:t>
      </w:r>
      <w:r>
        <w:t xml:space="preserve"> </w:t>
      </w:r>
      <w:r>
        <w:t xml:space="preserve">economías pequeñas y de transición confirman la utilidad de estas herramientas</w:t>
      </w:r>
      <w:r>
        <w:t xml:space="preserve"> </w:t>
      </w:r>
      <w:r>
        <w:t xml:space="preserve">para el diagnóstico productivo</w:t>
      </w:r>
      <w:r>
        <w:t xml:space="preserve"> </w:t>
      </w:r>
      <w:r>
        <w:t xml:space="preserve">(Bekhzad, 2011; Jovović, 2020;</w:t>
      </w:r>
      <w:r>
        <w:t xml:space="preserve"> </w:t>
      </w:r>
      <w:r>
        <w:t xml:space="preserve">Niyimbanira et al.</w:t>
      </w:r>
      <w:r>
        <w:t xml:space="preserve">, 2022; Yaya et al., 2018)</w:t>
      </w:r>
      <w:r>
        <w:t xml:space="preserve">.</w:t>
      </w:r>
    </w:p>
    <w:bookmarkEnd w:id="12"/>
    <w:bookmarkEnd w:id="13"/>
    <w:bookmarkStart w:id="14" w:name="contexto-la-economía-ecuatoriana"/>
    <w:p>
      <w:pPr>
        <w:pStyle w:val="Heading1"/>
      </w:pPr>
      <w:r>
        <w:t xml:space="preserve">Contexto: la economía ecuatoriana</w:t>
      </w:r>
    </w:p>
    <w:p>
      <w:pPr>
        <w:pStyle w:val="FirstParagraph"/>
      </w:pPr>
      <w:r>
        <w:t xml:space="preserve">Ecuador es una economía dolarizada desde el año 2000, lo que elimina la política</w:t>
      </w:r>
      <w:r>
        <w:t xml:space="preserve"> </w:t>
      </w:r>
      <w:r>
        <w:t xml:space="preserve">monetaria y cambiaria como instrumentos de ajuste y traslada el peso de los</w:t>
      </w:r>
      <w:r>
        <w:t xml:space="preserve"> </w:t>
      </w:r>
      <w:r>
        <w:t xml:space="preserve">choques externos a la estructura real de la economía. El sector petrolero ha</w:t>
      </w:r>
      <w:r>
        <w:t xml:space="preserve"> </w:t>
      </w:r>
      <w:r>
        <w:t xml:space="preserve">sido históricamente la principal fuente de divisas y de ingresos fiscales, lo</w:t>
      </w:r>
      <w:r>
        <w:t xml:space="preserve"> </w:t>
      </w:r>
      <w:r>
        <w:t xml:space="preserve">que vuelve a la concentración sectorial una variable de interés directo para la</w:t>
      </w:r>
      <w:r>
        <w:t xml:space="preserve"> </w:t>
      </w:r>
      <w:r>
        <w:t xml:space="preserve">sostenibilidad macroeconómica. El periodo 2000–2024 abarca el auge de precios de</w:t>
      </w:r>
      <w:r>
        <w:t xml:space="preserve"> </w:t>
      </w:r>
      <w:r>
        <w:t xml:space="preserve">las materias primas (2003–2014), su reversión posterior, y los choques de la</w:t>
      </w:r>
      <w:r>
        <w:t xml:space="preserve"> </w:t>
      </w:r>
      <w:r>
        <w:t xml:space="preserve">pandemia de 2020, ofreciendo variación suficiente para evaluar la evolución de</w:t>
      </w:r>
      <w:r>
        <w:t xml:space="preserve"> </w:t>
      </w:r>
      <w:r>
        <w:t xml:space="preserve">la concentración y la eficiencia productiva.</w:t>
      </w:r>
    </w:p>
    <w:bookmarkEnd w:id="14"/>
    <w:bookmarkStart w:id="15" w:name="datos"/>
    <w:p>
      <w:pPr>
        <w:pStyle w:val="Heading1"/>
      </w:pPr>
      <w:r>
        <w:t xml:space="preserve">Datos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dataset</w:t>
            </w:r>
          </w:p>
        </w:tc>
        <w:tc>
          <w:tcPr/>
          <w:p>
            <w:pPr>
              <w:pStyle w:val="Compact"/>
            </w:pPr>
            <w:r>
              <w:t xml:space="preserve">file</w:t>
            </w:r>
          </w:p>
        </w:tc>
        <w:tc>
          <w:tcPr/>
          <w:p>
            <w:pPr>
              <w:pStyle w:val="Compact"/>
            </w:pPr>
            <w:r>
              <w:t xml:space="preserve">source</w:t>
            </w:r>
          </w:p>
        </w:tc>
        <w:tc>
          <w:tcPr/>
          <w:p>
            <w:pPr>
              <w:pStyle w:val="Compact"/>
            </w:pPr>
            <w:r>
              <w:t xml:space="preserve">use</w:t>
            </w:r>
          </w:p>
        </w:tc>
      </w:tr>
      <w:tr>
        <w:tc>
          <w:tcPr/>
          <w:p>
            <w:pPr>
              <w:pStyle w:val="Compact"/>
            </w:pPr>
            <w:r>
              <w:t xml:space="preserve">0</w:t>
            </w:r>
          </w:p>
        </w:tc>
        <w:tc>
          <w:tcPr/>
          <w:p>
            <w:pPr>
              <w:pStyle w:val="Compact"/>
            </w:pPr>
            <w:r>
              <w:t xml:space="preserve">UNSD National Accounts Main Aggregates</w:t>
            </w:r>
          </w:p>
        </w:tc>
        <w:tc>
          <w:tcPr/>
          <w:p>
            <w:pPr>
              <w:pStyle w:val="Compact"/>
            </w:pPr>
            <w:r>
              <w:t xml:space="preserve">outputs/tables/hhi_ecuador.csv</w:t>
            </w:r>
          </w:p>
        </w:tc>
        <w:tc>
          <w:tcPr/>
          <w:p>
            <w:pPr>
              <w:pStyle w:val="Compact"/>
            </w:pPr>
            <w:r>
              <w:t xml:space="preserve">UNSD AMA API, GDP and breakdown at current prices</w:t>
            </w:r>
          </w:p>
        </w:tc>
        <w:tc>
          <w:tcPr/>
          <w:p>
            <w:pPr>
              <w:pStyle w:val="Compact"/>
            </w:pPr>
            <w:r>
              <w:t xml:space="preserve">HHI de Ecuador y base para DEA por ano y por rama</w:t>
            </w:r>
          </w:p>
        </w:tc>
      </w:tr>
      <w:tr>
        <w:tc>
          <w:tcPr/>
          <w:p>
            <w:pPr>
              <w:pStyle w:val="Compact"/>
            </w:pPr>
            <w:r>
              <w:t xml:space="preserve">1</w:t>
            </w:r>
          </w:p>
        </w:tc>
        <w:tc>
          <w:tcPr/>
          <w:p>
            <w:pPr>
              <w:pStyle w:val="Compact"/>
            </w:pPr>
            <w:r>
              <w:t xml:space="preserve">Ecuador sector comparable metrics</w:t>
            </w:r>
          </w:p>
        </w:tc>
        <w:tc>
          <w:tcPr/>
          <w:p>
            <w:pPr>
              <w:pStyle w:val="Compact"/>
            </w:pPr>
            <w:r>
              <w:t xml:space="preserve">data/raw/ecuador/sector_comparable_metrics.csv</w:t>
            </w:r>
          </w:p>
        </w:tc>
        <w:tc>
          <w:tcPr/>
          <w:p>
            <w:pPr>
              <w:pStyle w:val="Compact"/>
            </w:pPr>
            <w:r>
              <w:t xml:space="preserve">BCE MEI 2018-2024p</w:t>
            </w:r>
          </w:p>
        </w:tc>
        <w:tc>
          <w:tcPr/>
          <w:p>
            <w:pPr>
              <w:pStyle w:val="Compact"/>
            </w:pPr>
            <w:r>
              <w:t xml:space="preserve">Variables adicionales para enriquecer el DEA s...</w:t>
            </w:r>
          </w:p>
        </w:tc>
      </w:tr>
      <w:tr>
        <w:tc>
          <w:tcPr/>
          <w:p>
            <w:pPr>
              <w:pStyle w:val="Compact"/>
            </w:pPr>
            <w:r>
              <w:t xml:space="preserve">2</w:t>
            </w:r>
          </w:p>
        </w:tc>
        <w:tc>
          <w:tcPr/>
          <w:p>
            <w:pPr>
              <w:pStyle w:val="Compact"/>
            </w:pPr>
            <w:r>
              <w:t xml:space="preserve">Ecuador sector capital context</w:t>
            </w:r>
          </w:p>
        </w:tc>
        <w:tc>
          <w:tcPr/>
          <w:p>
            <w:pPr>
              <w:pStyle w:val="Compact"/>
            </w:pPr>
            <w:r>
              <w:t xml:space="preserve">data/raw/ecuador/sector_capital_context.csv</w:t>
            </w:r>
          </w:p>
        </w:tc>
        <w:tc>
          <w:tcPr/>
          <w:p>
            <w:pPr>
              <w:pStyle w:val="Compact"/>
            </w:pPr>
            <w:r>
              <w:t xml:space="preserve">BCE FBKF 1965-2024p</w:t>
            </w:r>
          </w:p>
        </w:tc>
        <w:tc>
          <w:tcPr/>
          <w:p>
            <w:pPr>
              <w:pStyle w:val="Compact"/>
            </w:pPr>
            <w:r>
              <w:t xml:space="preserve">Contexto de formacion bruta de capital fijo po...</w:t>
            </w:r>
          </w:p>
        </w:tc>
      </w:tr>
      <w:tr>
        <w:tc>
          <w:tcPr/>
          <w:p>
            <w:pPr>
              <w:pStyle w:val="Compact"/>
            </w:pPr>
            <w:r>
              <w:t xml:space="preserve">3</w:t>
            </w:r>
          </w:p>
        </w:tc>
        <w:tc>
          <w:tcPr/>
          <w:p>
            <w:pPr>
              <w:pStyle w:val="Compact"/>
            </w:pPr>
            <w:r>
              <w:t xml:space="preserve">Ecuador sector exports status</w:t>
            </w:r>
          </w:p>
        </w:tc>
        <w:tc>
          <w:tcPr/>
          <w:p>
            <w:pPr>
              <w:pStyle w:val="Compact"/>
            </w:pPr>
            <w:r>
              <w:t xml:space="preserve">data/raw/ecuador/sector_exports_context_status...</w:t>
            </w:r>
          </w:p>
        </w:tc>
        <w:tc>
          <w:tcPr/>
          <w:p>
            <w:pPr>
              <w:pStyle w:val="Compact"/>
            </w:pPr>
            <w:r>
              <w:t xml:space="preserve">BCE Comercio Exterior de Bienes</w:t>
            </w:r>
          </w:p>
        </w:tc>
        <w:tc>
          <w:tcPr/>
          <w:p>
            <w:pPr>
              <w:pStyle w:val="Compact"/>
            </w:pPr>
            <w:r>
              <w:t xml:space="preserve">Estado metodologico de exportaciones por rama ...</w:t>
            </w:r>
          </w:p>
        </w:tc>
      </w:tr>
    </w:tbl>
    <w:p>
      <w:pPr>
        <w:pStyle w:val="BodyText"/>
      </w:pPr>
      <w:r>
        <w:t xml:space="preserve">El análisis combina dos fuentes oficiales. La concentración sectorial se mide</w:t>
      </w:r>
      <w:r>
        <w:t xml:space="preserve"> </w:t>
      </w:r>
      <w:r>
        <w:t xml:space="preserve">con el Valor Agregado Bruto por rama de actividad de la base</w:t>
      </w:r>
      <w:r>
        <w:t xml:space="preserve"> </w:t>
      </w:r>
      <w:r>
        <w:rPr>
          <w:i/>
          <w:iCs/>
        </w:rPr>
        <w:t xml:space="preserve">National Accounts</w:t>
      </w:r>
      <w:r>
        <w:rPr>
          <w:i/>
          <w:iCs/>
        </w:rPr>
        <w:t xml:space="preserve"> </w:t>
      </w:r>
      <w:r>
        <w:rPr>
          <w:i/>
          <w:iCs/>
        </w:rPr>
        <w:t xml:space="preserve">Main Aggregates</w:t>
      </w:r>
      <w:r>
        <w:t xml:space="preserve"> </w:t>
      </w:r>
      <w:r>
        <w:t xml:space="preserve">de la División de Estadística de las Naciones Unidas</w:t>
      </w:r>
      <w:r>
        <w:t xml:space="preserve"> </w:t>
      </w:r>
      <w:r>
        <w:t xml:space="preserve">(United Nations Statistics Division, 2024)</w:t>
      </w:r>
      <w:r>
        <w:t xml:space="preserve">, que ofrece siete ramas ISIC mutuamente excluyentes y exhaustivas</w:t>
      </w:r>
      <w:r>
        <w:t xml:space="preserve"> </w:t>
      </w:r>
      <w:r>
        <w:t xml:space="preserve">para Ecuador entre 2000 y 2024. Para garantizar reproducibilidad, la descarga de</w:t>
      </w:r>
      <w:r>
        <w:t xml:space="preserve"> </w:t>
      </w:r>
      <w:r>
        <w:t xml:space="preserve">la fuente se almacena como un</w:t>
      </w:r>
      <w:r>
        <w:t xml:space="preserve"> </w:t>
      </w:r>
      <w:r>
        <w:rPr>
          <w:i/>
          <w:iCs/>
        </w:rPr>
        <w:t xml:space="preserve">snapshot</w:t>
      </w:r>
      <w:r>
        <w:t xml:space="preserve"> </w:t>
      </w:r>
      <w:r>
        <w:t xml:space="preserve">local con su URL, marca temporal y</w:t>
      </w:r>
      <w:r>
        <w:t xml:space="preserve"> </w:t>
      </w:r>
      <w:r>
        <w:t xml:space="preserve">suma de verificación SHA-256.</w:t>
      </w:r>
    </w:p>
    <w:p>
      <w:pPr>
        <w:pStyle w:val="BodyText"/>
      </w:pPr>
      <w:r>
        <w:t xml:space="preserve">El análisis de eficiencia se nutre adicionalmente de las Cuentas Nacionales</w:t>
      </w:r>
      <w:r>
        <w:t xml:space="preserve"> </w:t>
      </w:r>
      <w:r>
        <w:t xml:space="preserve">Anuales del Banco Central del Ecuador: la Matriz de Empleo e Ingresos (MEI)</w:t>
      </w:r>
      <w:r>
        <w:t xml:space="preserve"> </w:t>
      </w:r>
      <w:r>
        <w:t xml:space="preserve">2018–2024p aporta empleo y valor agregado por rama</w:t>
      </w:r>
      <w:r>
        <w:t xml:space="preserve"> </w:t>
      </w:r>
      <w:r>
        <w:t xml:space="preserve">(Banco Central del Ecuador, 2024b)</w:t>
      </w:r>
      <w:r>
        <w:t xml:space="preserve">, y la serie de</w:t>
      </w:r>
      <w:r>
        <w:t xml:space="preserve"> </w:t>
      </w:r>
      <w:r>
        <w:t xml:space="preserve">Formación Bruta de Capital Fijo (FBKF) por industria 1965–2024p aporta el stock</w:t>
      </w:r>
      <w:r>
        <w:t xml:space="preserve"> </w:t>
      </w:r>
      <w:r>
        <w:t xml:space="preserve">de inversión</w:t>
      </w:r>
      <w:r>
        <w:t xml:space="preserve"> </w:t>
      </w:r>
      <w:r>
        <w:t xml:space="preserve">(Banco Central del Ecuador, 2024a)</w:t>
      </w:r>
      <w:r>
        <w:t xml:space="preserve">. Las clasificaciones del BCE se armonizan a las</w:t>
      </w:r>
      <w:r>
        <w:t xml:space="preserve"> </w:t>
      </w:r>
      <w:r>
        <w:t xml:space="preserve">siete ramas ISIC del HHI mediante un mapeo explícito y auditable.</w:t>
      </w:r>
    </w:p>
    <w:bookmarkEnd w:id="15"/>
    <w:bookmarkStart w:id="19" w:name="metodología"/>
    <w:p>
      <w:pPr>
        <w:pStyle w:val="Heading1"/>
      </w:pPr>
      <w:r>
        <w:t xml:space="preserve">Metodología</w:t>
      </w:r>
    </w:p>
    <w:bookmarkStart w:id="16" w:name="índice-herfindahlhirschman"/>
    <w:p>
      <w:pPr>
        <w:pStyle w:val="Heading2"/>
      </w:pPr>
      <w:r>
        <w:t xml:space="preserve">Índice Herfindahl–Hirschman</w:t>
      </w:r>
    </w:p>
    <w:p>
      <w:pPr>
        <w:pStyle w:val="FirstParagraph"/>
      </w:pPr>
      <w:r>
        <w:t xml:space="preserve">Para cada año</w:t>
      </w:r>
      <w:r>
        <w:t xml:space="preserve"> </w:t>
      </w:r>
      <m:oMath>
        <m:r>
          <m:t>t</m:t>
        </m:r>
      </m:oMath>
      <w:r>
        <w:t xml:space="preserve">, el HHI se define como la suma de los cuadrados de las</w:t>
      </w:r>
      <w:r>
        <w:t xml:space="preserve"> </w:t>
      </w:r>
      <w:r>
        <w:t xml:space="preserve">participaciones sectoriales en el Valor Agregado Bruto:</w:t>
      </w:r>
    </w:p>
    <w:p>
      <w:pPr>
        <w:pStyle w:val="BodyText"/>
      </w:pPr>
      <m:oMathPara>
        <m:oMathParaPr>
          <m:jc m:val="center"/>
        </m:oMathParaPr>
        <m:oMath>
          <m:r>
            <m:t>H</m:t>
          </m:r>
          <m:r>
            <m:t>H</m:t>
          </m:r>
          <m:sSub>
            <m:e>
              <m:r>
                <m:t>I</m:t>
              </m:r>
            </m:e>
            <m:sub>
              <m:r>
                <m:t>t</m:t>
              </m:r>
            </m:sub>
          </m:sSub>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f>
                        <m:fPr>
                          <m:type m:val="bar"/>
                        </m:fPr>
                        <m:num>
                          <m:sSub>
                            <m:e>
                              <m:r>
                                <m:t>X</m:t>
                              </m:r>
                            </m:e>
                            <m:sub>
                              <m:r>
                                <m:t>i</m:t>
                              </m:r>
                              <m:r>
                                <m:t>t</m:t>
                              </m:r>
                            </m:sub>
                          </m:sSub>
                        </m:num>
                        <m:den>
                          <m:sSub>
                            <m:e>
                              <m:r>
                                <m:t>X</m:t>
                              </m:r>
                            </m:e>
                            <m:sub>
                              <m:r>
                                <m:t>t</m:t>
                              </m:r>
                            </m:sub>
                          </m:sSub>
                        </m:den>
                      </m:f>
                    </m:e>
                  </m:d>
                </m:e>
                <m:sup>
                  <m:r>
                    <m:t>2</m:t>
                  </m:r>
                </m:sup>
              </m:sSup>
            </m:e>
          </m:nary>
          <m:r>
            <m:rPr>
              <m:sty m:val="p"/>
            </m:rPr>
            <m:t>,</m:t>
          </m:r>
        </m:oMath>
      </m:oMathPara>
    </w:p>
    <w:p>
      <w:pPr>
        <w:pStyle w:val="FirstParagraph"/>
      </w:pPr>
      <w:r>
        <w:t xml:space="preserve">donde</w:t>
      </w:r>
      <w:r>
        <w:t xml:space="preserve"> </w:t>
      </w:r>
      <m:oMath>
        <m:sSub>
          <m:e>
            <m:r>
              <m:t>X</m:t>
            </m:r>
          </m:e>
          <m:sub>
            <m:r>
              <m:t>i</m:t>
            </m:r>
            <m:r>
              <m:t>t</m:t>
            </m:r>
          </m:sub>
        </m:sSub>
      </m:oMath>
      <w:r>
        <w:t xml:space="preserve"> </w:t>
      </w:r>
      <w:r>
        <w:t xml:space="preserve">es el valor agregado de la rama</w:t>
      </w:r>
      <w:r>
        <w:t xml:space="preserve"> </w:t>
      </w:r>
      <m:oMath>
        <m:r>
          <m:t>i</m:t>
        </m:r>
      </m:oMath>
      <w:r>
        <w:t xml:space="preserve"> </w:t>
      </w:r>
      <w:r>
        <w:t xml:space="preserve">en el año</w:t>
      </w:r>
      <w:r>
        <w:t xml:space="preserve"> </w:t>
      </w:r>
      <m:oMath>
        <m:r>
          <m:t>t</m:t>
        </m:r>
      </m:oMath>
      <w:r>
        <w:t xml:space="preserve"> </w:t>
      </w:r>
      <w:r>
        <w:t xml:space="preserve">y</w:t>
      </w:r>
      <w:r>
        <w:t xml:space="preserve"> </w:t>
      </w:r>
      <m:oMath>
        <m:sSub>
          <m:e>
            <m:r>
              <m:t>X</m:t>
            </m:r>
          </m:e>
          <m:sub>
            <m:r>
              <m:t>t</m:t>
            </m:r>
          </m:sub>
        </m:sSub>
        <m:r>
          <m:rPr>
            <m:sty m:val="p"/>
          </m:rPr>
          <m:t>=</m:t>
        </m:r>
        <m:nary>
          <m:naryPr>
            <m:chr m:val="∑"/>
            <m:limLoc m:val="undOvr"/>
            <m:subHide m:val="off"/>
            <m:supHide m:val="on"/>
          </m:naryPr>
          <m:sub>
            <m:r>
              <m:t>i</m:t>
            </m:r>
          </m:sub>
          <m:sup>
            <m:r>
              <m:t>​</m:t>
            </m:r>
          </m:sup>
          <m:e>
            <m:sSub>
              <m:e>
                <m:r>
                  <m:t>X</m:t>
                </m:r>
              </m:e>
              <m:sub>
                <m:r>
                  <m:t>i</m:t>
                </m:r>
                <m:r>
                  <m:t>t</m:t>
                </m:r>
              </m:sub>
            </m:sSub>
          </m:e>
        </m:nary>
      </m:oMath>
      <w:r>
        <w:t xml:space="preserve">. El índice varía entre</w:t>
      </w:r>
      <w:r>
        <w:t xml:space="preserve"> </w:t>
      </w:r>
      <m:oMath>
        <m:r>
          <m:t>1</m:t>
        </m:r>
        <m:r>
          <m:rPr>
            <m:sty m:val="p"/>
          </m:rPr>
          <m:t>/</m:t>
        </m:r>
        <m:r>
          <m:t>N</m:t>
        </m:r>
      </m:oMath>
      <w:r>
        <w:t xml:space="preserve"> </w:t>
      </w:r>
      <w:r>
        <w:t xml:space="preserve">(diversificación máxima) y</w:t>
      </w:r>
      <w:r>
        <w:t xml:space="preserve"> </w:t>
      </w:r>
      <m:oMath>
        <m:r>
          <m:t>1</m:t>
        </m:r>
      </m:oMath>
      <w:r>
        <w:t xml:space="preserve"> </w:t>
      </w:r>
      <w:r>
        <w:t xml:space="preserve">(concentración total). Con</w:t>
      </w:r>
      <w:r>
        <w:t xml:space="preserve"> </w:t>
      </w:r>
      <m:oMath>
        <m:r>
          <m:t>N</m:t>
        </m:r>
        <m:r>
          <m:rPr>
            <m:sty m:val="p"/>
          </m:rPr>
          <m:t>=</m:t>
        </m:r>
        <m:r>
          <m:t>7</m:t>
        </m:r>
      </m:oMath>
      <w:r>
        <w:t xml:space="preserve"> </w:t>
      </w:r>
      <w:r>
        <w:t xml:space="preserve">ramas, el piso teórico es</w:t>
      </w:r>
      <w:r>
        <w:t xml:space="preserve"> </w:t>
      </w:r>
      <m:oMath>
        <m:r>
          <m:t>1</m:t>
        </m:r>
        <m:r>
          <m:rPr>
            <m:sty m:val="p"/>
          </m:rPr>
          <m:t>/</m:t>
        </m:r>
        <m:r>
          <m:t>7</m:t>
        </m:r>
        <m:r>
          <m:rPr>
            <m:sty m:val="p"/>
          </m:rPr>
          <m:t>≈</m:t>
        </m:r>
        <m:r>
          <m:t>0</m:t>
        </m:r>
        <m:r>
          <m:rPr>
            <m:sty m:val="p"/>
          </m:rPr>
          <m:t>,</m:t>
        </m:r>
        <m:r>
          <m:t>143</m:t>
        </m:r>
      </m:oMath>
      <w:r>
        <w:t xml:space="preserve">. Siguiendo umbrales convencionales, clasificamos cada año</w:t>
      </w:r>
      <w:r>
        <w:t xml:space="preserve"> </w:t>
      </w:r>
      <w:r>
        <w:t xml:space="preserve">como</w:t>
      </w:r>
      <w:r>
        <w:t xml:space="preserve"> </w:t>
      </w:r>
      <w:r>
        <w:rPr>
          <w:i/>
          <w:iCs/>
        </w:rPr>
        <w:t xml:space="preserve">diversificado</w:t>
      </w:r>
      <w:r>
        <w:t xml:space="preserve"> </w:t>
      </w:r>
      <w:r>
        <w:t xml:space="preserve">(</w:t>
      </w:r>
      <m:oMath>
        <m:r>
          <m:t>H</m:t>
        </m:r>
        <m:r>
          <m:t>H</m:t>
        </m:r>
        <m:r>
          <m:t>I</m:t>
        </m:r>
        <m:r>
          <m:rPr>
            <m:sty m:val="p"/>
          </m:rPr>
          <m:t>&lt;</m:t>
        </m:r>
        <m:r>
          <m:t>0</m:t>
        </m:r>
        <m:r>
          <m:rPr>
            <m:sty m:val="p"/>
          </m:rPr>
          <m:t>,</m:t>
        </m:r>
        <m:r>
          <m:t>15</m:t>
        </m:r>
      </m:oMath>
      <w:r>
        <w:t xml:space="preserve">),</w:t>
      </w:r>
      <w:r>
        <w:t xml:space="preserve"> </w:t>
      </w:r>
      <w:r>
        <w:rPr>
          <w:i/>
          <w:iCs/>
        </w:rPr>
        <w:t xml:space="preserve">moderadamente diversificado</w:t>
      </w:r>
      <w:r>
        <w:t xml:space="preserve"> </w:t>
      </w:r>
      <w:r>
        <w:t xml:space="preserve">(</w:t>
      </w:r>
      <m:oMath>
        <m:r>
          <m:t>0</m:t>
        </m:r>
        <m:r>
          <m:rPr>
            <m:sty m:val="p"/>
          </m:rPr>
          <m:t>,</m:t>
        </m:r>
        <m:r>
          <m:t>15</m:t>
        </m:r>
        <m:r>
          <m:rPr>
            <m:sty m:val="p"/>
          </m:rPr>
          <m:t>≤</m:t>
        </m:r>
        <m:r>
          <m:t>H</m:t>
        </m:r>
        <m:r>
          <m:t>H</m:t>
        </m:r>
        <m:r>
          <m:t>I</m:t>
        </m:r>
        <m:r>
          <m:rPr>
            <m:sty m:val="p"/>
          </m:rPr>
          <m:t>&lt;</m:t>
        </m:r>
        <m:r>
          <m:t>0</m:t>
        </m:r>
        <m:r>
          <m:rPr>
            <m:sty m:val="p"/>
          </m:rPr>
          <m:t>,</m:t>
        </m:r>
        <m:r>
          <m:t>25</m:t>
        </m:r>
      </m:oMath>
      <w:r>
        <w:t xml:space="preserve">) o</w:t>
      </w:r>
      <w:r>
        <w:t xml:space="preserve"> </w:t>
      </w:r>
      <w:r>
        <w:rPr>
          <w:i/>
          <w:iCs/>
        </w:rPr>
        <w:t xml:space="preserve">menos diversificado</w:t>
      </w:r>
      <w:r>
        <w:t xml:space="preserve"> </w:t>
      </w:r>
      <w:r>
        <w:t xml:space="preserve">(</w:t>
      </w:r>
      <m:oMath>
        <m:r>
          <m:t>H</m:t>
        </m:r>
        <m:r>
          <m:t>H</m:t>
        </m:r>
        <m:r>
          <m:t>I</m:t>
        </m:r>
        <m:r>
          <m:rPr>
            <m:sty m:val="p"/>
          </m:rPr>
          <m:t>≥</m:t>
        </m:r>
        <m:r>
          <m:t>0</m:t>
        </m:r>
        <m:r>
          <m:rPr>
            <m:sty m:val="p"/>
          </m:rPr>
          <m:t>,</m:t>
        </m:r>
        <m:r>
          <m:t>25</m:t>
        </m:r>
      </m:oMath>
      <w:r>
        <w:t xml:space="preserve">). El uso</w:t>
      </w:r>
      <w:r>
        <w:t xml:space="preserve"> </w:t>
      </w:r>
      <w:r>
        <w:t xml:space="preserve">de siete ramas, en lugar de tres macro-sectores, evita un piso artificial que</w:t>
      </w:r>
      <w:r>
        <w:t xml:space="preserve"> </w:t>
      </w:r>
      <w:r>
        <w:t xml:space="preserve">forzaría mecánicamente el índice hacia la categoría de concentración, devolviendo</w:t>
      </w:r>
      <w:r>
        <w:t xml:space="preserve"> </w:t>
      </w:r>
      <w:r>
        <w:t xml:space="preserve">poder discriminante al indicador.</w:t>
      </w:r>
    </w:p>
    <w:bookmarkEnd w:id="16"/>
    <w:bookmarkStart w:id="17" w:name="dea-de-frontera-de-producción"/>
    <w:p>
      <w:pPr>
        <w:pStyle w:val="Heading2"/>
      </w:pPr>
      <w:r>
        <w:t xml:space="preserve">DEA de frontera de producción</w:t>
      </w:r>
    </w:p>
    <w:p>
      <w:pPr>
        <w:pStyle w:val="FirstParagraph"/>
      </w:pPr>
      <w:r>
        <w:t xml:space="preserve">La eficiencia técnica se estima con un modelo CCR orientado a insumos</w:t>
      </w:r>
      <w:r>
        <w:t xml:space="preserve"> </w:t>
      </w:r>
      <w:r>
        <w:t xml:space="preserve">(Charnes et al., 1978)</w:t>
      </w:r>
      <w:r>
        <w:t xml:space="preserve">. Para cada unidad de decisión (DMU)</w:t>
      </w:r>
      <w:r>
        <w:t xml:space="preserve"> </w:t>
      </w:r>
      <m:oMath>
        <m:r>
          <m:t>o</m:t>
        </m:r>
      </m:oMath>
      <w:r>
        <w:t xml:space="preserve"> </w:t>
      </w:r>
      <w:r>
        <w:t xml:space="preserve">se resuelve:</w:t>
      </w:r>
    </w:p>
    <w:p>
      <w:pPr>
        <w:pStyle w:val="BodyText"/>
      </w:pPr>
      <m:oMathPara>
        <m:oMathParaPr>
          <m:jc m:val="center"/>
        </m:oMathParaPr>
        <m:oMath>
          <m:eqArr>
            <m:e>
              <m:limLow>
                <m:e>
                  <m:r>
                    <m:rPr>
                      <m:sty m:val="p"/>
                    </m:rPr>
                    <m:t>min</m:t>
                  </m:r>
                </m:e>
                <m:lim>
                  <m:r>
                    <m:t>θ</m:t>
                  </m:r>
                  <m:r>
                    <m:rPr>
                      <m:sty m:val="p"/>
                    </m:rPr>
                    <m:t>,</m:t>
                  </m:r>
                  <m:r>
                    <m:t>λ</m:t>
                  </m:r>
                </m:lim>
              </m:limLow>
              <m:r>
                <m:t> </m:t>
              </m:r>
              <m:r>
                <m:t>&amp;</m:t>
              </m:r>
              <m:r>
                <m:t>θ</m:t>
              </m:r>
            </m:e>
            <m:e>
              <m:r>
                <m:rPr>
                  <m:nor/>
                  <m:sty m:val="p"/>
                </m:rPr>
                <m:t>s.a.</m:t>
              </m:r>
              <m:r>
                <m:t> </m:t>
              </m:r>
              <m:r>
                <m:t>&amp;</m:t>
              </m:r>
              <m:r>
                <m:t>X</m:t>
              </m:r>
              <m:r>
                <m:t>λ</m:t>
              </m:r>
              <m:r>
                <m:rPr>
                  <m:sty m:val="p"/>
                </m:rPr>
                <m:t>≤</m:t>
              </m:r>
              <m:r>
                <m:t>θ</m:t>
              </m:r>
              <m:sSub>
                <m:e>
                  <m:r>
                    <m:t>x</m:t>
                  </m:r>
                </m:e>
                <m:sub>
                  <m:r>
                    <m:t>o</m:t>
                  </m:r>
                </m:sub>
              </m:sSub>
              <m:r>
                <m:rPr>
                  <m:sty m:val="p"/>
                </m:rPr>
                <m:t>,</m:t>
              </m:r>
            </m:e>
            <m:e>
              <m:r>
                <m:t>&amp;</m:t>
              </m:r>
              <m:r>
                <m:t>Y</m:t>
              </m:r>
              <m:r>
                <m:t>λ</m:t>
              </m:r>
              <m:r>
                <m:rPr>
                  <m:sty m:val="p"/>
                </m:rPr>
                <m:t>≥</m:t>
              </m:r>
              <m:sSub>
                <m:e>
                  <m:r>
                    <m:t>y</m:t>
                  </m:r>
                </m:e>
                <m:sub>
                  <m:r>
                    <m:t>o</m:t>
                  </m:r>
                </m:sub>
              </m:sSub>
              <m:r>
                <m:rPr>
                  <m:sty m:val="p"/>
                </m:rPr>
                <m:t>,</m:t>
              </m:r>
            </m:e>
            <m:e>
              <m:r>
                <m:t>&amp;</m:t>
              </m:r>
              <m:r>
                <m:t>λ</m:t>
              </m:r>
              <m:r>
                <m:rPr>
                  <m:sty m:val="p"/>
                </m:rPr>
                <m:t>≥</m:t>
              </m:r>
              <m:r>
                <m:t>0</m:t>
              </m:r>
              <m:r>
                <m:rPr>
                  <m:sty m:val="p"/>
                </m:rPr>
                <m:t>,</m:t>
              </m:r>
            </m:e>
          </m:eqArr>
        </m:oMath>
      </m:oMathPara>
    </w:p>
    <w:p>
      <w:pPr>
        <w:pStyle w:val="FirstParagraph"/>
      </w:pPr>
      <w:r>
        <w:t xml:space="preserve">donde</w:t>
      </w:r>
      <w:r>
        <w:t xml:space="preserve"> </w:t>
      </w:r>
      <m:oMath>
        <m:sSub>
          <m:e>
            <m:r>
              <m:t>x</m:t>
            </m:r>
          </m:e>
          <m:sub>
            <m:r>
              <m:t>o</m:t>
            </m:r>
          </m:sub>
        </m:sSub>
      </m:oMath>
      <w:r>
        <w:t xml:space="preserve"> </w:t>
      </w:r>
      <w:r>
        <w:t xml:space="preserve">y</w:t>
      </w:r>
      <w:r>
        <w:t xml:space="preserve"> </w:t>
      </w:r>
      <m:oMath>
        <m:sSub>
          <m:e>
            <m:r>
              <m:t>y</m:t>
            </m:r>
          </m:e>
          <m:sub>
            <m:r>
              <m:t>o</m:t>
            </m:r>
          </m:sub>
        </m:sSub>
      </m:oMath>
      <w:r>
        <w:t xml:space="preserve"> </w:t>
      </w:r>
      <w:r>
        <w:t xml:space="preserve">son los vectores de insumos y productos de la DMU evaluada,</w:t>
      </w:r>
      <w:r>
        <w:t xml:space="preserve"> </w:t>
      </w:r>
      <m:oMath>
        <m:r>
          <m:t>X</m:t>
        </m:r>
      </m:oMath>
      <w:r>
        <w:t xml:space="preserve"> </w:t>
      </w:r>
      <w:r>
        <w:t xml:space="preserve">e</w:t>
      </w:r>
      <w:r>
        <w:t xml:space="preserve"> </w:t>
      </w:r>
      <m:oMath>
        <m:r>
          <m:t>Y</m:t>
        </m:r>
      </m:oMath>
      <w:r>
        <w:t xml:space="preserve"> </w:t>
      </w:r>
      <w:r>
        <w:t xml:space="preserve">las matrices de todas las DMU, y</w:t>
      </w:r>
      <w:r>
        <w:t xml:space="preserve"> </w:t>
      </w:r>
      <m:oMath>
        <m:r>
          <m:t>θ</m:t>
        </m:r>
        <m:r>
          <m:rPr>
            <m:sty m:val="p"/>
          </m:rPr>
          <m:t>∈</m:t>
        </m:r>
        <m:r>
          <m:rPr>
            <m:sty m:val="p"/>
          </m:rPr>
          <m:t>(</m:t>
        </m:r>
        <m:r>
          <m:t>0</m:t>
        </m:r>
        <m:r>
          <m:rPr>
            <m:sty m:val="p"/>
          </m:rPr>
          <m:t>,</m:t>
        </m:r>
        <m:r>
          <m:t>1</m:t>
        </m:r>
        <m:r>
          <m:rPr>
            <m:sty m:val="p"/>
          </m:rPr>
          <m:t>]</m:t>
        </m:r>
      </m:oMath>
      <w:r>
        <w:t xml:space="preserve"> </w:t>
      </w:r>
      <w:r>
        <w:t xml:space="preserve">la eficiencia</w:t>
      </w:r>
      <w:r>
        <w:t xml:space="preserve"> </w:t>
      </w:r>
      <w:r>
        <w:t xml:space="preserve">(</w:t>
      </w:r>
      <m:oMath>
        <m:r>
          <m:t>θ</m:t>
        </m:r>
        <m:r>
          <m:rPr>
            <m:sty m:val="p"/>
          </m:rPr>
          <m:t>=</m:t>
        </m:r>
        <m:r>
          <m:t>1</m:t>
        </m:r>
      </m:oMath>
      <w:r>
        <w:t xml:space="preserve"> </w:t>
      </w:r>
      <w:r>
        <w:t xml:space="preserve">indica eficiencia técnica).</w:t>
      </w:r>
    </w:p>
    <w:p>
      <w:pPr>
        <w:pStyle w:val="BodyText"/>
      </w:pPr>
      <w:r>
        <w:t xml:space="preserve">A diferencia de especificaciones que usan participaciones o la productividad</w:t>
      </w:r>
      <w:r>
        <w:t xml:space="preserve"> </w:t>
      </w:r>
      <w:r>
        <w:t xml:space="preserve">como variables, definimos una</w:t>
      </w:r>
      <w:r>
        <w:t xml:space="preserve"> </w:t>
      </w:r>
      <w:r>
        <w:rPr>
          <w:b/>
          <w:bCs/>
        </w:rPr>
        <w:t xml:space="preserve">frontera de producción genuina</w:t>
      </w:r>
      <w:r>
        <w:t xml:space="preserve">: la DMU es el</w:t>
      </w:r>
      <w:r>
        <w:t xml:space="preserve"> </w:t>
      </w:r>
      <w:r>
        <w:t xml:space="preserve">par sector-año, los insumos son el empleo (trabajo) y la FBKF (capital) —dos</w:t>
      </w:r>
      <w:r>
        <w:t xml:space="preserve"> </w:t>
      </w:r>
      <w:r>
        <w:t xml:space="preserve">factores de producción independientes— y el producto es el valor agregado. Esto</w:t>
      </w:r>
      <w:r>
        <w:t xml:space="preserve"> </w:t>
      </w:r>
      <w:r>
        <w:t xml:space="preserve">corrige dos defectos comunes: un modelo con un único insumo y un único producto</w:t>
      </w:r>
      <w:r>
        <w:t xml:space="preserve"> </w:t>
      </w:r>
      <w:r>
        <w:t xml:space="preserve">colapsa a un simple ranking del cociente producto/insumo, y usar la</w:t>
      </w:r>
      <w:r>
        <w:t xml:space="preserve"> </w:t>
      </w:r>
      <w:r>
        <w:t xml:space="preserve">productividad como producto introduce dependencia mecánica con el insumo, pues</w:t>
      </w:r>
      <w:r>
        <w:t xml:space="preserve"> </w:t>
      </w:r>
      <w:r>
        <w:t xml:space="preserve">la productividad es exactamente ese cociente.</w:t>
      </w:r>
    </w:p>
    <w:p>
      <w:pPr>
        <w:pStyle w:val="BodyText"/>
      </w:pPr>
      <w:r>
        <w:t xml:space="preserve">Agrupar las siete ramas en la ventana común 2018–2023 eleva el número de DMU a</w:t>
      </w:r>
      <w:r>
        <w:t xml:space="preserve"> </w:t>
      </w:r>
      <w:r>
        <w:t xml:space="preserve">42, holgadamente por encima del umbral de adecuación</w:t>
      </w:r>
      <w:r>
        <w:t xml:space="preserve"> </w:t>
      </w:r>
      <m:oMath>
        <m:sSub>
          <m:e>
            <m:r>
              <m:t>n</m:t>
            </m:r>
          </m:e>
          <m:sub>
            <m:r>
              <m:t>D</m:t>
            </m:r>
            <m:r>
              <m:t>M</m:t>
            </m:r>
            <m:r>
              <m:t>U</m:t>
            </m:r>
          </m:sub>
        </m:sSub>
        <m:r>
          <m:rPr>
            <m:sty m:val="p"/>
          </m:rPr>
          <m:t>≥</m:t>
        </m:r>
        <m:r>
          <m:t>3</m:t>
        </m:r>
        <m:r>
          <m:rPr>
            <m:sty m:val="p"/>
          </m:rPr>
          <m:t>(</m:t>
        </m:r>
        <m:r>
          <m:t>m</m:t>
        </m:r>
        <m:r>
          <m:rPr>
            <m:sty m:val="p"/>
          </m:rPr>
          <m:t>+</m:t>
        </m:r>
        <m:r>
          <m:t>s</m:t>
        </m:r>
        <m:r>
          <m:rPr>
            <m:sty m:val="p"/>
          </m:rPr>
          <m:t>)</m:t>
        </m:r>
      </m:oMath>
      <w:r>
        <w:t xml:space="preserve">, donde</w:t>
      </w:r>
      <w:r>
        <w:t xml:space="preserve"> </w:t>
      </w:r>
      <m:oMath>
        <m:r>
          <m:t>m</m:t>
        </m:r>
      </m:oMath>
      <w:r>
        <w:t xml:space="preserve"> </w:t>
      </w:r>
      <w:r>
        <w:t xml:space="preserve">es el número de insumos y</w:t>
      </w:r>
      <w:r>
        <w:t xml:space="preserve"> </w:t>
      </w:r>
      <m:oMath>
        <m:r>
          <m:t>s</m:t>
        </m:r>
      </m:oMath>
      <w:r>
        <w:t xml:space="preserve"> </w:t>
      </w:r>
      <w:r>
        <w:t xml:space="preserve">el de productos</w:t>
      </w:r>
      <w:r>
        <w:t xml:space="preserve"> </w:t>
      </w:r>
      <w:r>
        <w:t xml:space="preserve">(Cooper et al., 2007)</w:t>
      </w:r>
      <w:r>
        <w:t xml:space="preserve">.</w:t>
      </w:r>
    </w:p>
    <w:bookmarkEnd w:id="17"/>
    <w:bookmarkStart w:id="18" w:name="inferencia-bootstrap-de-simarwilson"/>
    <w:p>
      <w:pPr>
        <w:pStyle w:val="Heading2"/>
      </w:pPr>
      <w:r>
        <w:t xml:space="preserve">Inferencia bootstrap de Simar–Wilson</w:t>
      </w:r>
    </w:p>
    <w:p>
      <w:pPr>
        <w:pStyle w:val="FirstParagraph"/>
      </w:pPr>
      <w:r>
        <w:t xml:space="preserve">Las eficiencias DEA son estimadores deterministas, sesgados al alza —la frontera</w:t>
      </w:r>
      <w:r>
        <w:t xml:space="preserve"> </w:t>
      </w:r>
      <w:r>
        <w:t xml:space="preserve">estimada queda por dentro de la verdadera— y sin error estándar. Aplicamos el</w:t>
      </w:r>
      <w:r>
        <w:t xml:space="preserve"> </w:t>
      </w:r>
      <w:r>
        <w:t xml:space="preserve">bootstrap homogéneo suavizado de</w:t>
      </w:r>
      <w:r>
        <w:t xml:space="preserve"> </w:t>
      </w:r>
      <w:r>
        <w:t xml:space="preserve">Simar &amp; Wilson (1998)</w:t>
      </w:r>
      <w:r>
        <w:t xml:space="preserve">. En cada una de las</w:t>
      </w:r>
      <w:r>
        <w:t xml:space="preserve"> </w:t>
      </w:r>
      <m:oMath>
        <m:r>
          <m:t>B</m:t>
        </m:r>
        <m:r>
          <m:rPr>
            <m:sty m:val="p"/>
          </m:rPr>
          <m:t>=</m:t>
        </m:r>
        <m:r>
          <m:t>2000</m:t>
        </m:r>
      </m:oMath>
      <w:r>
        <w:t xml:space="preserve"> </w:t>
      </w:r>
      <w:r>
        <w:t xml:space="preserve">réplicas: (i) se remuestrean las eficiencias con reemplazo; (ii) se suavizan con</w:t>
      </w:r>
      <w:r>
        <w:t xml:space="preserve"> </w:t>
      </w:r>
      <w:r>
        <w:t xml:space="preserve">un kernel gaussiano, con reflexión en la frontera</w:t>
      </w:r>
      <w:r>
        <w:t xml:space="preserve"> </w:t>
      </w:r>
      <m:oMath>
        <m:r>
          <m:t>θ</m:t>
        </m:r>
        <m:r>
          <m:rPr>
            <m:sty m:val="p"/>
          </m:rPr>
          <m:t>=</m:t>
        </m:r>
        <m:r>
          <m:t>1</m:t>
        </m:r>
      </m:oMath>
      <w:r>
        <w:t xml:space="preserve"> </w:t>
      </w:r>
      <w:r>
        <w:t xml:space="preserve">para respetar el</w:t>
      </w:r>
      <w:r>
        <w:t xml:space="preserve"> </w:t>
      </w:r>
      <w:r>
        <w:t xml:space="preserve">soporte acotado y corrección de media y varianza; (iii) se construyen insumos</w:t>
      </w:r>
      <w:r>
        <w:t xml:space="preserve"> </w:t>
      </w:r>
      <w:r>
        <w:t xml:space="preserve">pseudo</w:t>
      </w:r>
      <w:r>
        <w:t xml:space="preserve"> </w:t>
      </w:r>
      <m:oMath>
        <m:sSubSup>
          <m:e>
            <m:r>
              <m:t>x</m:t>
            </m:r>
          </m:e>
          <m:sub>
            <m:r>
              <m:t>j</m:t>
            </m:r>
          </m:sub>
          <m:sup>
            <m:r>
              <m:rPr>
                <m:sty m:val="p"/>
              </m:rPr>
              <m:t>*</m:t>
            </m:r>
          </m:sup>
        </m:sSubSup>
        <m:r>
          <m:rPr>
            <m:sty m:val="p"/>
          </m:rPr>
          <m:t>=</m:t>
        </m:r>
        <m:sSub>
          <m:e>
            <m:r>
              <m:t>x</m:t>
            </m:r>
          </m:e>
          <m:sub>
            <m:r>
              <m:t>j</m:t>
            </m:r>
          </m:sub>
        </m:sSub>
        <m:r>
          <m:t> </m:t>
        </m:r>
        <m:sSub>
          <m:e>
            <m:r>
              <m:t>θ</m:t>
            </m:r>
          </m:e>
          <m:sub>
            <m:r>
              <m:t>j</m:t>
            </m:r>
          </m:sub>
        </m:sSub>
        <m:r>
          <m:rPr>
            <m:sty m:val="p"/>
          </m:rPr>
          <m:t>/</m:t>
        </m:r>
        <m:sSubSup>
          <m:e>
            <m:r>
              <m:t>θ</m:t>
            </m:r>
          </m:e>
          <m:sub>
            <m:r>
              <m:t>j</m:t>
            </m:r>
          </m:sub>
          <m:sup>
            <m:r>
              <m:rPr>
                <m:sty m:val="p"/>
              </m:rPr>
              <m:t>*</m:t>
            </m:r>
          </m:sup>
        </m:sSubSup>
      </m:oMath>
      <w:r>
        <w:t xml:space="preserve">; y (iv) se reevalúa cada DMU original</w:t>
      </w:r>
      <w:r>
        <w:t xml:space="preserve"> </w:t>
      </w:r>
      <w:r>
        <w:t xml:space="preserve">contra la pseudo-frontera. El sesgo se estima como</w:t>
      </w:r>
      <w:r>
        <w:t xml:space="preserve"> </w:t>
      </w:r>
      <m:oMath>
        <m:sSub>
          <m:e>
            <m:acc>
              <m:accPr>
                <m:chr m:val="̂"/>
              </m:accPr>
              <m:e>
                <m:r>
                  <m:rPr>
                    <m:nor/>
                    <m:sty m:val="p"/>
                  </m:rPr>
                  <m:t>sesgo</m:t>
                </m:r>
              </m:e>
            </m:acc>
          </m:e>
          <m:sub>
            <m:r>
              <m:t>k</m:t>
            </m:r>
          </m:sub>
        </m:sSub>
        <m:r>
          <m:rPr>
            <m:sty m:val="p"/>
          </m:rPr>
          <m:t>=</m:t>
        </m:r>
        <m:f>
          <m:fPr>
            <m:type m:val="bar"/>
          </m:fPr>
          <m:num>
            <m:r>
              <m:t>1</m:t>
            </m:r>
          </m:num>
          <m:den>
            <m:r>
              <m:t>B</m:t>
            </m:r>
          </m:den>
        </m:f>
        <m:nary>
          <m:naryPr>
            <m:chr m:val="∑"/>
            <m:limLoc m:val="undOvr"/>
            <m:subHide m:val="off"/>
            <m:supHide m:val="on"/>
          </m:naryPr>
          <m:sub>
            <m:r>
              <m:t>b</m:t>
            </m:r>
          </m:sub>
          <m:sup>
            <m:r>
              <m:t>​</m:t>
            </m:r>
          </m:sup>
          <m:e>
            <m:sSubSup>
              <m:e>
                <m:r>
                  <m:t>θ</m:t>
                </m:r>
              </m:e>
              <m:sub>
                <m:r>
                  <m:t>k</m:t>
                </m:r>
                <m:r>
                  <m:t>b</m:t>
                </m:r>
              </m:sub>
              <m:sup>
                <m:r>
                  <m:rPr>
                    <m:sty m:val="p"/>
                  </m:rPr>
                  <m:t>*</m:t>
                </m:r>
              </m:sup>
            </m:sSubSup>
          </m:e>
        </m:nary>
        <m:r>
          <m:rPr>
            <m:sty m:val="p"/>
          </m:rPr>
          <m:t>−</m:t>
        </m:r>
        <m:sSub>
          <m:e>
            <m:r>
              <m:t>θ</m:t>
            </m:r>
          </m:e>
          <m:sub>
            <m:r>
              <m:t>k</m:t>
            </m:r>
          </m:sub>
        </m:sSub>
      </m:oMath>
      <w:r>
        <w:t xml:space="preserve">, la</w:t>
      </w:r>
      <w:r>
        <w:t xml:space="preserve"> </w:t>
      </w:r>
      <w:r>
        <w:t xml:space="preserve">eficiencia corregida es</w:t>
      </w:r>
      <w:r>
        <w:t xml:space="preserve"> </w:t>
      </w:r>
      <m:oMath>
        <m:sSub>
          <m:e>
            <m:acc>
              <m:accPr>
                <m:chr m:val="̂"/>
              </m:accPr>
              <m:e>
                <m:r>
                  <m:t>θ</m:t>
                </m:r>
              </m:e>
            </m:acc>
          </m:e>
          <m:sub>
            <m:r>
              <m:t>k</m:t>
            </m:r>
          </m:sub>
        </m:sSub>
        <m:r>
          <m:rPr>
            <m:sty m:val="p"/>
          </m:rPr>
          <m:t>=</m:t>
        </m:r>
        <m:sSub>
          <m:e>
            <m:r>
              <m:t>θ</m:t>
            </m:r>
          </m:e>
          <m:sub>
            <m:r>
              <m:t>k</m:t>
            </m:r>
          </m:sub>
        </m:sSub>
        <m:r>
          <m:rPr>
            <m:sty m:val="p"/>
          </m:rPr>
          <m:t>−</m:t>
        </m:r>
        <m:sSub>
          <m:e>
            <m:acc>
              <m:accPr>
                <m:chr m:val="̂"/>
              </m:accPr>
              <m:e>
                <m:r>
                  <m:rPr>
                    <m:nor/>
                    <m:sty m:val="p"/>
                  </m:rPr>
                  <m:t>sesgo</m:t>
                </m:r>
              </m:e>
            </m:acc>
          </m:e>
          <m:sub>
            <m:r>
              <m:t>k</m:t>
            </m:r>
          </m:sub>
        </m:sSub>
      </m:oMath>
      <w:r>
        <w:t xml:space="preserve">, y</w:t>
      </w:r>
      <w:r>
        <w:t xml:space="preserve"> </w:t>
      </w:r>
      <w:r>
        <w:t xml:space="preserve">el intervalo de confianza al 95% se obtiene de los percentiles de la</w:t>
      </w:r>
      <w:r>
        <w:t xml:space="preserve"> </w:t>
      </w:r>
      <w:r>
        <w:t xml:space="preserve">distribución bootstrap.</w:t>
      </w:r>
    </w:p>
    <w:bookmarkEnd w:id="18"/>
    <w:bookmarkEnd w:id="19"/>
    <w:bookmarkStart w:id="26" w:name="resultados"/>
    <w:p>
      <w:pPr>
        <w:pStyle w:val="Heading1"/>
      </w:pPr>
      <w:r>
        <w:t xml:space="preserve">Resultados</w:t>
      </w:r>
    </w:p>
    <w:bookmarkStart w:id="23" w:name="concentración-sectorial-hhi"/>
    <w:p>
      <w:pPr>
        <w:pStyle w:val="Heading2"/>
      </w:pPr>
      <w:r>
        <w:t xml:space="preserve">Concentración sectorial (HHI)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year</w:t>
            </w:r>
          </w:p>
        </w:tc>
        <w:tc>
          <w:tcPr/>
          <w:p>
            <w:pPr>
              <w:pStyle w:val="Compact"/>
            </w:pPr>
            <w:r>
              <w:t xml:space="preserve">hhi</w:t>
            </w:r>
          </w:p>
        </w:tc>
        <w:tc>
          <w:tcPr/>
          <w:p>
            <w:pPr>
              <w:pStyle w:val="Compact"/>
            </w:pPr>
            <w:r>
              <w:t xml:space="preserve">classification</w:t>
            </w:r>
          </w:p>
        </w:tc>
      </w:tr>
      <w:tr>
        <w:tc>
          <w:tcPr/>
          <w:p>
            <w:pPr>
              <w:pStyle w:val="Compact"/>
            </w:pPr>
            <w:r>
              <w:t xml:space="preserve">0</w:t>
            </w:r>
          </w:p>
        </w:tc>
        <w:tc>
          <w:tcPr/>
          <w:p>
            <w:pPr>
              <w:pStyle w:val="Compact"/>
            </w:pPr>
            <w:r>
              <w:t xml:space="preserve">2000</w:t>
            </w:r>
          </w:p>
        </w:tc>
        <w:tc>
          <w:tcPr/>
          <w:p>
            <w:pPr>
              <w:pStyle w:val="Compact"/>
            </w:pPr>
            <w:r>
              <w:t xml:space="preserve">0.1824</w:t>
            </w:r>
          </w:p>
        </w:tc>
        <w:tc>
          <w:tcPr/>
          <w:p>
            <w:pPr>
              <w:pStyle w:val="Compact"/>
            </w:pPr>
            <w:r>
              <w:t xml:space="preserve">Moderately diversified</w:t>
            </w:r>
          </w:p>
        </w:tc>
      </w:tr>
      <w:tr>
        <w:tc>
          <w:tcPr/>
          <w:p>
            <w:pPr>
              <w:pStyle w:val="Compact"/>
            </w:pPr>
            <w:r>
              <w:t xml:space="preserve">1</w:t>
            </w:r>
          </w:p>
        </w:tc>
        <w:tc>
          <w:tcPr/>
          <w:p>
            <w:pPr>
              <w:pStyle w:val="Compact"/>
            </w:pPr>
            <w:r>
              <w:t xml:space="preserve">2001</w:t>
            </w:r>
          </w:p>
        </w:tc>
        <w:tc>
          <w:tcPr/>
          <w:p>
            <w:pPr>
              <w:pStyle w:val="Compact"/>
            </w:pPr>
            <w:r>
              <w:t xml:space="preserve">0.1853</w:t>
            </w:r>
          </w:p>
        </w:tc>
        <w:tc>
          <w:tcPr/>
          <w:p>
            <w:pPr>
              <w:pStyle w:val="Compact"/>
            </w:pPr>
            <w:r>
              <w:t xml:space="preserve">Moderately diversified</w:t>
            </w:r>
          </w:p>
        </w:tc>
      </w:tr>
      <w:tr>
        <w:tc>
          <w:tcPr/>
          <w:p>
            <w:pPr>
              <w:pStyle w:val="Compact"/>
            </w:pPr>
            <w:r>
              <w:t xml:space="preserve">2</w:t>
            </w:r>
          </w:p>
        </w:tc>
        <w:tc>
          <w:tcPr/>
          <w:p>
            <w:pPr>
              <w:pStyle w:val="Compact"/>
            </w:pPr>
            <w:r>
              <w:t xml:space="preserve">2002</w:t>
            </w:r>
          </w:p>
        </w:tc>
        <w:tc>
          <w:tcPr/>
          <w:p>
            <w:pPr>
              <w:pStyle w:val="Compact"/>
            </w:pPr>
            <w:r>
              <w:t xml:space="preserve">0.1932</w:t>
            </w:r>
          </w:p>
        </w:tc>
        <w:tc>
          <w:tcPr/>
          <w:p>
            <w:pPr>
              <w:pStyle w:val="Compact"/>
            </w:pPr>
            <w:r>
              <w:t xml:space="preserve">Moderately diversified</w:t>
            </w:r>
          </w:p>
        </w:tc>
      </w:tr>
      <w:tr>
        <w:tc>
          <w:tcPr/>
          <w:p>
            <w:pPr>
              <w:pStyle w:val="Compact"/>
            </w:pPr>
            <w:r>
              <w:t xml:space="preserve">3</w:t>
            </w:r>
          </w:p>
        </w:tc>
        <w:tc>
          <w:tcPr/>
          <w:p>
            <w:pPr>
              <w:pStyle w:val="Compact"/>
            </w:pPr>
            <w:r>
              <w:t xml:space="preserve">2003</w:t>
            </w:r>
          </w:p>
        </w:tc>
        <w:tc>
          <w:tcPr/>
          <w:p>
            <w:pPr>
              <w:pStyle w:val="Compact"/>
            </w:pPr>
            <w:r>
              <w:t xml:space="preserve">0.2008</w:t>
            </w:r>
          </w:p>
        </w:tc>
        <w:tc>
          <w:tcPr/>
          <w:p>
            <w:pPr>
              <w:pStyle w:val="Compact"/>
            </w:pPr>
            <w:r>
              <w:t xml:space="preserve">Moderately diversified</w:t>
            </w:r>
          </w:p>
        </w:tc>
      </w:tr>
      <w:tr>
        <w:tc>
          <w:tcPr/>
          <w:p>
            <w:pPr>
              <w:pStyle w:val="Compact"/>
            </w:pPr>
            <w:r>
              <w:t xml:space="preserve">4</w:t>
            </w:r>
          </w:p>
        </w:tc>
        <w:tc>
          <w:tcPr/>
          <w:p>
            <w:pPr>
              <w:pStyle w:val="Compact"/>
            </w:pPr>
            <w:r>
              <w:t xml:space="preserve">2004</w:t>
            </w:r>
          </w:p>
        </w:tc>
        <w:tc>
          <w:tcPr/>
          <w:p>
            <w:pPr>
              <w:pStyle w:val="Compact"/>
            </w:pPr>
            <w:r>
              <w:t xml:space="preserve">0.2010</w:t>
            </w:r>
          </w:p>
        </w:tc>
        <w:tc>
          <w:tcPr/>
          <w:p>
            <w:pPr>
              <w:pStyle w:val="Compact"/>
            </w:pPr>
            <w:r>
              <w:t xml:space="preserve">Moderately diversified</w:t>
            </w:r>
          </w:p>
        </w:tc>
      </w:tr>
      <w:tr>
        <w:tc>
          <w:tcPr/>
          <w:p>
            <w:pPr>
              <w:pStyle w:val="Compact"/>
            </w:pPr>
            <w:r>
              <w:t xml:space="preserve">5</w:t>
            </w:r>
          </w:p>
        </w:tc>
        <w:tc>
          <w:tcPr/>
          <w:p>
            <w:pPr>
              <w:pStyle w:val="Compact"/>
            </w:pPr>
            <w:r>
              <w:t xml:space="preserve">2005</w:t>
            </w:r>
          </w:p>
        </w:tc>
        <w:tc>
          <w:tcPr/>
          <w:p>
            <w:pPr>
              <w:pStyle w:val="Compact"/>
            </w:pPr>
            <w:r>
              <w:t xml:space="preserve">0.1962</w:t>
            </w:r>
          </w:p>
        </w:tc>
        <w:tc>
          <w:tcPr/>
          <w:p>
            <w:pPr>
              <w:pStyle w:val="Compact"/>
            </w:pPr>
            <w:r>
              <w:t xml:space="preserve">Moderately diversified</w:t>
            </w:r>
          </w:p>
        </w:tc>
      </w:tr>
      <w:tr>
        <w:tc>
          <w:tcPr/>
          <w:p>
            <w:pPr>
              <w:pStyle w:val="Compact"/>
            </w:pPr>
            <w:r>
              <w:t xml:space="preserve">6</w:t>
            </w:r>
          </w:p>
        </w:tc>
        <w:tc>
          <w:tcPr/>
          <w:p>
            <w:pPr>
              <w:pStyle w:val="Compact"/>
            </w:pPr>
            <w:r>
              <w:t xml:space="preserve">2006</w:t>
            </w:r>
          </w:p>
        </w:tc>
        <w:tc>
          <w:tcPr/>
          <w:p>
            <w:pPr>
              <w:pStyle w:val="Compact"/>
            </w:pPr>
            <w:r>
              <w:t xml:space="preserve">0.1949</w:t>
            </w:r>
          </w:p>
        </w:tc>
        <w:tc>
          <w:tcPr/>
          <w:p>
            <w:pPr>
              <w:pStyle w:val="Compact"/>
            </w:pPr>
            <w:r>
              <w:t xml:space="preserve">Moderately diversified</w:t>
            </w:r>
          </w:p>
        </w:tc>
      </w:tr>
      <w:tr>
        <w:tc>
          <w:tcPr/>
          <w:p>
            <w:pPr>
              <w:pStyle w:val="Compact"/>
            </w:pPr>
            <w:r>
              <w:t xml:space="preserve">7</w:t>
            </w:r>
          </w:p>
        </w:tc>
        <w:tc>
          <w:tcPr/>
          <w:p>
            <w:pPr>
              <w:pStyle w:val="Compact"/>
            </w:pPr>
            <w:r>
              <w:t xml:space="preserve">2007</w:t>
            </w:r>
          </w:p>
        </w:tc>
        <w:tc>
          <w:tcPr/>
          <w:p>
            <w:pPr>
              <w:pStyle w:val="Compact"/>
            </w:pPr>
            <w:r>
              <w:t xml:space="preserve">0.1978</w:t>
            </w:r>
          </w:p>
        </w:tc>
        <w:tc>
          <w:tcPr/>
          <w:p>
            <w:pPr>
              <w:pStyle w:val="Compact"/>
            </w:pPr>
            <w:r>
              <w:t xml:space="preserve">Moderately diversified</w:t>
            </w:r>
          </w:p>
        </w:tc>
      </w:tr>
      <w:tr>
        <w:tc>
          <w:tcPr/>
          <w:p>
            <w:pPr>
              <w:pStyle w:val="Compact"/>
            </w:pPr>
            <w:r>
              <w:t xml:space="preserve">8</w:t>
            </w:r>
          </w:p>
        </w:tc>
        <w:tc>
          <w:tcPr/>
          <w:p>
            <w:pPr>
              <w:pStyle w:val="Compact"/>
            </w:pPr>
            <w:r>
              <w:t xml:space="preserve">2008</w:t>
            </w:r>
          </w:p>
        </w:tc>
        <w:tc>
          <w:tcPr/>
          <w:p>
            <w:pPr>
              <w:pStyle w:val="Compact"/>
            </w:pPr>
            <w:r>
              <w:t xml:space="preserve">0.1962</w:t>
            </w:r>
          </w:p>
        </w:tc>
        <w:tc>
          <w:tcPr/>
          <w:p>
            <w:pPr>
              <w:pStyle w:val="Compact"/>
            </w:pPr>
            <w:r>
              <w:t xml:space="preserve">Moderately diversified</w:t>
            </w:r>
          </w:p>
        </w:tc>
      </w:tr>
      <w:tr>
        <w:tc>
          <w:tcPr/>
          <w:p>
            <w:pPr>
              <w:pStyle w:val="Compact"/>
            </w:pPr>
            <w:r>
              <w:t xml:space="preserve">9</w:t>
            </w:r>
          </w:p>
        </w:tc>
        <w:tc>
          <w:tcPr/>
          <w:p>
            <w:pPr>
              <w:pStyle w:val="Compact"/>
            </w:pPr>
            <w:r>
              <w:t xml:space="preserve">2009</w:t>
            </w:r>
          </w:p>
        </w:tc>
        <w:tc>
          <w:tcPr/>
          <w:p>
            <w:pPr>
              <w:pStyle w:val="Compact"/>
            </w:pPr>
            <w:r>
              <w:t xml:space="preserve">0.2023</w:t>
            </w:r>
          </w:p>
        </w:tc>
        <w:tc>
          <w:tcPr/>
          <w:p>
            <w:pPr>
              <w:pStyle w:val="Compact"/>
            </w:pPr>
            <w:r>
              <w:t xml:space="preserve">Moderately diversified</w:t>
            </w:r>
          </w:p>
        </w:tc>
      </w:tr>
      <w:tr>
        <w:tc>
          <w:tcPr/>
          <w:p>
            <w:pPr>
              <w:pStyle w:val="Compact"/>
            </w:pPr>
            <w:r>
              <w:t xml:space="preserve">10</w:t>
            </w:r>
          </w:p>
        </w:tc>
        <w:tc>
          <w:tcPr/>
          <w:p>
            <w:pPr>
              <w:pStyle w:val="Compact"/>
            </w:pPr>
            <w:r>
              <w:t xml:space="preserve">2010</w:t>
            </w:r>
          </w:p>
        </w:tc>
        <w:tc>
          <w:tcPr/>
          <w:p>
            <w:pPr>
              <w:pStyle w:val="Compact"/>
            </w:pPr>
            <w:r>
              <w:t xml:space="preserve">0.2000</w:t>
            </w:r>
          </w:p>
        </w:tc>
        <w:tc>
          <w:tcPr/>
          <w:p>
            <w:pPr>
              <w:pStyle w:val="Compact"/>
            </w:pPr>
            <w:r>
              <w:t xml:space="preserve">Moderately diversified</w:t>
            </w:r>
          </w:p>
        </w:tc>
      </w:tr>
      <w:tr>
        <w:tc>
          <w:tcPr/>
          <w:p>
            <w:pPr>
              <w:pStyle w:val="Compact"/>
            </w:pPr>
            <w:r>
              <w:t xml:space="preserve">11</w:t>
            </w:r>
          </w:p>
        </w:tc>
        <w:tc>
          <w:tcPr/>
          <w:p>
            <w:pPr>
              <w:pStyle w:val="Compact"/>
            </w:pPr>
            <w:r>
              <w:t xml:space="preserve">2011</w:t>
            </w:r>
          </w:p>
        </w:tc>
        <w:tc>
          <w:tcPr/>
          <w:p>
            <w:pPr>
              <w:pStyle w:val="Compact"/>
            </w:pPr>
            <w:r>
              <w:t xml:space="preserve">0.1956</w:t>
            </w:r>
          </w:p>
        </w:tc>
        <w:tc>
          <w:tcPr/>
          <w:p>
            <w:pPr>
              <w:pStyle w:val="Compact"/>
            </w:pPr>
            <w:r>
              <w:t xml:space="preserve">Moderately diversified</w:t>
            </w:r>
          </w:p>
        </w:tc>
      </w:tr>
      <w:tr>
        <w:tc>
          <w:tcPr/>
          <w:p>
            <w:pPr>
              <w:pStyle w:val="Compact"/>
            </w:pPr>
            <w:r>
              <w:t xml:space="preserve">12</w:t>
            </w:r>
          </w:p>
        </w:tc>
        <w:tc>
          <w:tcPr/>
          <w:p>
            <w:pPr>
              <w:pStyle w:val="Compact"/>
            </w:pPr>
            <w:r>
              <w:t xml:space="preserve">2012</w:t>
            </w:r>
          </w:p>
        </w:tc>
        <w:tc>
          <w:tcPr/>
          <w:p>
            <w:pPr>
              <w:pStyle w:val="Compact"/>
            </w:pPr>
            <w:r>
              <w:t xml:space="preserve">0.1991</w:t>
            </w:r>
          </w:p>
        </w:tc>
        <w:tc>
          <w:tcPr/>
          <w:p>
            <w:pPr>
              <w:pStyle w:val="Compact"/>
            </w:pPr>
            <w:r>
              <w:t xml:space="preserve">Moderately diversified</w:t>
            </w:r>
          </w:p>
        </w:tc>
      </w:tr>
      <w:tr>
        <w:tc>
          <w:tcPr/>
          <w:p>
            <w:pPr>
              <w:pStyle w:val="Compact"/>
            </w:pPr>
            <w:r>
              <w:t xml:space="preserve">13</w:t>
            </w:r>
          </w:p>
        </w:tc>
        <w:tc>
          <w:tcPr/>
          <w:p>
            <w:pPr>
              <w:pStyle w:val="Compact"/>
            </w:pPr>
            <w:r>
              <w:t xml:space="preserve">2013</w:t>
            </w:r>
          </w:p>
        </w:tc>
        <w:tc>
          <w:tcPr/>
          <w:p>
            <w:pPr>
              <w:pStyle w:val="Compact"/>
            </w:pPr>
            <w:r>
              <w:t xml:space="preserve">0.1950</w:t>
            </w:r>
          </w:p>
        </w:tc>
        <w:tc>
          <w:tcPr/>
          <w:p>
            <w:pPr>
              <w:pStyle w:val="Compact"/>
            </w:pPr>
            <w:r>
              <w:t xml:space="preserve">Moderately diversified</w:t>
            </w:r>
          </w:p>
        </w:tc>
      </w:tr>
      <w:tr>
        <w:tc>
          <w:tcPr/>
          <w:p>
            <w:pPr>
              <w:pStyle w:val="Compact"/>
            </w:pPr>
            <w:r>
              <w:t xml:space="preserve">14</w:t>
            </w:r>
          </w:p>
        </w:tc>
        <w:tc>
          <w:tcPr/>
          <w:p>
            <w:pPr>
              <w:pStyle w:val="Compact"/>
            </w:pPr>
            <w:r>
              <w:t xml:space="preserve">2014</w:t>
            </w:r>
          </w:p>
        </w:tc>
        <w:tc>
          <w:tcPr/>
          <w:p>
            <w:pPr>
              <w:pStyle w:val="Compact"/>
            </w:pPr>
            <w:r>
              <w:t xml:space="preserve">0.1956</w:t>
            </w:r>
          </w:p>
        </w:tc>
        <w:tc>
          <w:tcPr/>
          <w:p>
            <w:pPr>
              <w:pStyle w:val="Compact"/>
            </w:pPr>
            <w:r>
              <w:t xml:space="preserve">Moderately diversified</w:t>
            </w:r>
          </w:p>
        </w:tc>
      </w:tr>
      <w:tr>
        <w:tc>
          <w:tcPr/>
          <w:p>
            <w:pPr>
              <w:pStyle w:val="Compact"/>
            </w:pPr>
            <w:r>
              <w:t xml:space="preserve">15</w:t>
            </w:r>
          </w:p>
        </w:tc>
        <w:tc>
          <w:tcPr/>
          <w:p>
            <w:pPr>
              <w:pStyle w:val="Compact"/>
            </w:pPr>
            <w:r>
              <w:t xml:space="preserve">2015</w:t>
            </w:r>
          </w:p>
        </w:tc>
        <w:tc>
          <w:tcPr/>
          <w:p>
            <w:pPr>
              <w:pStyle w:val="Compact"/>
            </w:pPr>
            <w:r>
              <w:t xml:space="preserve">0.2136</w:t>
            </w:r>
          </w:p>
        </w:tc>
        <w:tc>
          <w:tcPr/>
          <w:p>
            <w:pPr>
              <w:pStyle w:val="Compact"/>
            </w:pPr>
            <w:r>
              <w:t xml:space="preserve">Moderately diversified</w:t>
            </w:r>
          </w:p>
        </w:tc>
      </w:tr>
      <w:tr>
        <w:tc>
          <w:tcPr/>
          <w:p>
            <w:pPr>
              <w:pStyle w:val="Compact"/>
            </w:pPr>
            <w:r>
              <w:t xml:space="preserve">16</w:t>
            </w:r>
          </w:p>
        </w:tc>
        <w:tc>
          <w:tcPr/>
          <w:p>
            <w:pPr>
              <w:pStyle w:val="Compact"/>
            </w:pPr>
            <w:r>
              <w:t xml:space="preserve">2016</w:t>
            </w:r>
          </w:p>
        </w:tc>
        <w:tc>
          <w:tcPr/>
          <w:p>
            <w:pPr>
              <w:pStyle w:val="Compact"/>
            </w:pPr>
            <w:r>
              <w:t xml:space="preserve">0.2168</w:t>
            </w:r>
          </w:p>
        </w:tc>
        <w:tc>
          <w:tcPr/>
          <w:p>
            <w:pPr>
              <w:pStyle w:val="Compact"/>
            </w:pPr>
            <w:r>
              <w:t xml:space="preserve">Moderately diversified</w:t>
            </w:r>
          </w:p>
        </w:tc>
      </w:tr>
      <w:tr>
        <w:tc>
          <w:tcPr/>
          <w:p>
            <w:pPr>
              <w:pStyle w:val="Compact"/>
            </w:pPr>
            <w:r>
              <w:t xml:space="preserve">17</w:t>
            </w:r>
          </w:p>
        </w:tc>
        <w:tc>
          <w:tcPr/>
          <w:p>
            <w:pPr>
              <w:pStyle w:val="Compact"/>
            </w:pPr>
            <w:r>
              <w:t xml:space="preserve">2017</w:t>
            </w:r>
          </w:p>
        </w:tc>
        <w:tc>
          <w:tcPr/>
          <w:p>
            <w:pPr>
              <w:pStyle w:val="Compact"/>
            </w:pPr>
            <w:r>
              <w:t xml:space="preserve">0.2147</w:t>
            </w:r>
          </w:p>
        </w:tc>
        <w:tc>
          <w:tcPr/>
          <w:p>
            <w:pPr>
              <w:pStyle w:val="Compact"/>
            </w:pPr>
            <w:r>
              <w:t xml:space="preserve">Moderately diversified</w:t>
            </w:r>
          </w:p>
        </w:tc>
      </w:tr>
      <w:tr>
        <w:tc>
          <w:tcPr/>
          <w:p>
            <w:pPr>
              <w:pStyle w:val="Compact"/>
            </w:pPr>
            <w:r>
              <w:t xml:space="preserve">18</w:t>
            </w:r>
          </w:p>
        </w:tc>
        <w:tc>
          <w:tcPr/>
          <w:p>
            <w:pPr>
              <w:pStyle w:val="Compact"/>
            </w:pPr>
            <w:r>
              <w:t xml:space="preserve">2018</w:t>
            </w:r>
          </w:p>
        </w:tc>
        <w:tc>
          <w:tcPr/>
          <w:p>
            <w:pPr>
              <w:pStyle w:val="Compact"/>
            </w:pPr>
            <w:r>
              <w:t xml:space="preserve">0.2171</w:t>
            </w:r>
          </w:p>
        </w:tc>
        <w:tc>
          <w:tcPr/>
          <w:p>
            <w:pPr>
              <w:pStyle w:val="Compact"/>
            </w:pPr>
            <w:r>
              <w:t xml:space="preserve">Moderately diversified</w:t>
            </w:r>
          </w:p>
        </w:tc>
      </w:tr>
      <w:tr>
        <w:tc>
          <w:tcPr/>
          <w:p>
            <w:pPr>
              <w:pStyle w:val="Compact"/>
            </w:pPr>
            <w:r>
              <w:t xml:space="preserve">19</w:t>
            </w:r>
          </w:p>
        </w:tc>
        <w:tc>
          <w:tcPr/>
          <w:p>
            <w:pPr>
              <w:pStyle w:val="Compact"/>
            </w:pPr>
            <w:r>
              <w:t xml:space="preserve">2019</w:t>
            </w:r>
          </w:p>
        </w:tc>
        <w:tc>
          <w:tcPr/>
          <w:p>
            <w:pPr>
              <w:pStyle w:val="Compact"/>
            </w:pPr>
            <w:r>
              <w:t xml:space="preserve">0.2211</w:t>
            </w:r>
          </w:p>
        </w:tc>
        <w:tc>
          <w:tcPr/>
          <w:p>
            <w:pPr>
              <w:pStyle w:val="Compact"/>
            </w:pPr>
            <w:r>
              <w:t xml:space="preserve">Moderately diversified</w:t>
            </w:r>
          </w:p>
        </w:tc>
      </w:tr>
      <w:tr>
        <w:tc>
          <w:tcPr/>
          <w:p>
            <w:pPr>
              <w:pStyle w:val="Compact"/>
            </w:pPr>
            <w:r>
              <w:t xml:space="preserve">20</w:t>
            </w:r>
          </w:p>
        </w:tc>
        <w:tc>
          <w:tcPr/>
          <w:p>
            <w:pPr>
              <w:pStyle w:val="Compact"/>
            </w:pPr>
            <w:r>
              <w:t xml:space="preserve">2020</w:t>
            </w:r>
          </w:p>
        </w:tc>
        <w:tc>
          <w:tcPr/>
          <w:p>
            <w:pPr>
              <w:pStyle w:val="Compact"/>
            </w:pPr>
            <w:r>
              <w:t xml:space="preserve">0.2367</w:t>
            </w:r>
          </w:p>
        </w:tc>
        <w:tc>
          <w:tcPr/>
          <w:p>
            <w:pPr>
              <w:pStyle w:val="Compact"/>
            </w:pPr>
            <w:r>
              <w:t xml:space="preserve">Moderately diversified</w:t>
            </w:r>
          </w:p>
        </w:tc>
      </w:tr>
      <w:tr>
        <w:tc>
          <w:tcPr/>
          <w:p>
            <w:pPr>
              <w:pStyle w:val="Compact"/>
            </w:pPr>
            <w:r>
              <w:t xml:space="preserve">21</w:t>
            </w:r>
          </w:p>
        </w:tc>
        <w:tc>
          <w:tcPr/>
          <w:p>
            <w:pPr>
              <w:pStyle w:val="Compact"/>
            </w:pPr>
            <w:r>
              <w:t xml:space="preserve">2021</w:t>
            </w:r>
          </w:p>
        </w:tc>
        <w:tc>
          <w:tcPr/>
          <w:p>
            <w:pPr>
              <w:pStyle w:val="Compact"/>
            </w:pPr>
            <w:r>
              <w:t xml:space="preserve">0.2174</w:t>
            </w:r>
          </w:p>
        </w:tc>
        <w:tc>
          <w:tcPr/>
          <w:p>
            <w:pPr>
              <w:pStyle w:val="Compact"/>
            </w:pPr>
            <w:r>
              <w:t xml:space="preserve">Moderately diversified</w:t>
            </w:r>
          </w:p>
        </w:tc>
      </w:tr>
      <w:tr>
        <w:tc>
          <w:tcPr/>
          <w:p>
            <w:pPr>
              <w:pStyle w:val="Compact"/>
            </w:pPr>
            <w:r>
              <w:t xml:space="preserve">22</w:t>
            </w:r>
          </w:p>
        </w:tc>
        <w:tc>
          <w:tcPr/>
          <w:p>
            <w:pPr>
              <w:pStyle w:val="Compact"/>
            </w:pPr>
            <w:r>
              <w:t xml:space="preserve">2022</w:t>
            </w:r>
          </w:p>
        </w:tc>
        <w:tc>
          <w:tcPr/>
          <w:p>
            <w:pPr>
              <w:pStyle w:val="Compact"/>
            </w:pPr>
            <w:r>
              <w:t xml:space="preserve">0.2124</w:t>
            </w:r>
          </w:p>
        </w:tc>
        <w:tc>
          <w:tcPr/>
          <w:p>
            <w:pPr>
              <w:pStyle w:val="Compact"/>
            </w:pPr>
            <w:r>
              <w:t xml:space="preserve">Moderately diversified</w:t>
            </w:r>
          </w:p>
        </w:tc>
      </w:tr>
      <w:tr>
        <w:tc>
          <w:tcPr/>
          <w:p>
            <w:pPr>
              <w:pStyle w:val="Compact"/>
            </w:pPr>
            <w:r>
              <w:t xml:space="preserve">23</w:t>
            </w:r>
          </w:p>
        </w:tc>
        <w:tc>
          <w:tcPr/>
          <w:p>
            <w:pPr>
              <w:pStyle w:val="Compact"/>
            </w:pPr>
            <w:r>
              <w:t xml:space="preserve">2023</w:t>
            </w:r>
          </w:p>
        </w:tc>
        <w:tc>
          <w:tcPr/>
          <w:p>
            <w:pPr>
              <w:pStyle w:val="Compact"/>
            </w:pPr>
            <w:r>
              <w:t xml:space="preserve">0.2170</w:t>
            </w:r>
          </w:p>
        </w:tc>
        <w:tc>
          <w:tcPr/>
          <w:p>
            <w:pPr>
              <w:pStyle w:val="Compact"/>
            </w:pPr>
            <w:r>
              <w:t xml:space="preserve">Moderately diversified</w:t>
            </w:r>
          </w:p>
        </w:tc>
      </w:tr>
      <w:tr>
        <w:tc>
          <w:tcPr/>
          <w:p>
            <w:pPr>
              <w:pStyle w:val="Compact"/>
            </w:pPr>
            <w:r>
              <w:t xml:space="preserve">24</w:t>
            </w:r>
          </w:p>
        </w:tc>
        <w:tc>
          <w:tcPr/>
          <w:p>
            <w:pPr>
              <w:pStyle w:val="Compact"/>
            </w:pPr>
            <w:r>
              <w:t xml:space="preserve">2024</w:t>
            </w:r>
          </w:p>
        </w:tc>
        <w:tc>
          <w:tcPr/>
          <w:p>
            <w:pPr>
              <w:pStyle w:val="Compact"/>
            </w:pPr>
            <w:r>
              <w:t xml:space="preserve">0.2135</w:t>
            </w:r>
          </w:p>
        </w:tc>
        <w:tc>
          <w:tcPr/>
          <w:p>
            <w:pPr>
              <w:pStyle w:val="Compact"/>
            </w:pPr>
            <w:r>
              <w:t xml:space="preserve">Moderately diversified</w:t>
            </w:r>
          </w:p>
        </w:tc>
      </w:tr>
    </w:tbl>
    <w:p>
      <w:pPr>
        <w:pStyle w:val="BodyText"/>
      </w:pPr>
      <w:r>
        <w:t xml:space="preserve"> </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periodo</w:t>
            </w:r>
          </w:p>
        </w:tc>
        <w:tc>
          <w:tcPr/>
          <w:p>
            <w:pPr>
              <w:pStyle w:val="Compact"/>
            </w:pPr>
            <w:r>
              <w:t xml:space="preserve">hhi_minimo</w:t>
            </w:r>
          </w:p>
        </w:tc>
        <w:tc>
          <w:tcPr/>
          <w:p>
            <w:pPr>
              <w:pStyle w:val="Compact"/>
            </w:pPr>
            <w:r>
              <w:t xml:space="preserve">hhi_maximo</w:t>
            </w:r>
          </w:p>
        </w:tc>
        <w:tc>
          <w:tcPr/>
          <w:p>
            <w:pPr>
              <w:pStyle w:val="Compact"/>
            </w:pPr>
            <w:r>
              <w:t xml:space="preserve">hhi_2000</w:t>
            </w:r>
          </w:p>
        </w:tc>
        <w:tc>
          <w:tcPr/>
          <w:p>
            <w:pPr>
              <w:pStyle w:val="Compact"/>
            </w:pPr>
            <w:r>
              <w:t xml:space="preserve">hhi_2024</w:t>
            </w:r>
          </w:p>
        </w:tc>
      </w:tr>
      <w:tr>
        <w:tc>
          <w:tcPr/>
          <w:p>
            <w:pPr>
              <w:pStyle w:val="Compact"/>
            </w:pPr>
            <w:r>
              <w:t xml:space="preserve">0</w:t>
            </w:r>
          </w:p>
        </w:tc>
        <w:tc>
          <w:tcPr/>
          <w:p>
            <w:pPr>
              <w:pStyle w:val="Compact"/>
            </w:pPr>
            <w:r>
              <w:t xml:space="preserve">2000-2024</w:t>
            </w:r>
          </w:p>
        </w:tc>
        <w:tc>
          <w:tcPr/>
          <w:p>
            <w:pPr>
              <w:pStyle w:val="Compact"/>
            </w:pPr>
            <w:r>
              <w:t xml:space="preserve">0.1824</w:t>
            </w:r>
          </w:p>
        </w:tc>
        <w:tc>
          <w:tcPr/>
          <w:p>
            <w:pPr>
              <w:pStyle w:val="Compact"/>
            </w:pPr>
            <w:r>
              <w:t xml:space="preserve">0.2367</w:t>
            </w:r>
          </w:p>
        </w:tc>
        <w:tc>
          <w:tcPr/>
          <w:p>
            <w:pPr>
              <w:pStyle w:val="Compact"/>
            </w:pPr>
            <w:r>
              <w:t xml:space="preserve">0.1824</w:t>
            </w:r>
          </w:p>
        </w:tc>
        <w:tc>
          <w:tcPr/>
          <w:p>
            <w:pPr>
              <w:pStyle w:val="Compact"/>
            </w:pPr>
            <w:r>
              <w:t xml:space="preserve">0.2135</w:t>
            </w:r>
          </w:p>
        </w:tc>
      </w:tr>
    </w:tbl>
    <w:p>
      <w:pPr>
        <w:pStyle w:val="BodyText"/>
      </w:pPr>
      <w:r>
        <w:t xml:space="preserve">La economía ecuatoriana se mantiene en la categoría</w:t>
      </w:r>
      <w:r>
        <w:t xml:space="preserve"> </w:t>
      </w:r>
      <w:r>
        <w:rPr>
          <w:i/>
          <w:iCs/>
        </w:rPr>
        <w:t xml:space="preserve">moderadamente diversificada</w:t>
      </w:r>
      <w:r>
        <w:t xml:space="preserve"> </w:t>
      </w:r>
      <w:r>
        <w:t xml:space="preserve">durante todo el periodo. El HHI parte de 0,182 en 2000, describe una tendencia</w:t>
      </w:r>
      <w:r>
        <w:t xml:space="preserve"> </w:t>
      </w:r>
      <w:r>
        <w:t xml:space="preserve">ascendente con un máximo de 0,237 en 2020 —reflejo del choque pandémico que</w:t>
      </w:r>
      <w:r>
        <w:t xml:space="preserve"> </w:t>
      </w:r>
      <w:r>
        <w:t xml:space="preserve">contrajo de forma desigual los sectores— y cierra en 0,214 en 2024. El aumento</w:t>
      </w:r>
      <w:r>
        <w:t xml:space="preserve"> </w:t>
      </w:r>
      <w:r>
        <w:t xml:space="preserve">neto, aunque moderado, señala una concentración creciente y contradice la idea</w:t>
      </w:r>
      <w:r>
        <w:t xml:space="preserve"> </w:t>
      </w:r>
      <w:r>
        <w:t xml:space="preserve">de una transformación productiva sostenida. La partición de siete ramas evita el</w:t>
      </w:r>
      <w:r>
        <w:t xml:space="preserve"> </w:t>
      </w:r>
      <w:r>
        <w:t xml:space="preserve">problema de pisos artificiales y permite leer estos cambios sin imponer por</w:t>
      </w:r>
      <w:r>
        <w:t xml:space="preserve"> </w:t>
      </w:r>
      <w:r>
        <w:t xml:space="preserve">construcción una clasificación extrema.</w:t>
      </w:r>
    </w:p>
    <w:p>
      <w:pPr>
        <w:pStyle w:val="CaptionedFigure"/>
      </w:pPr>
      <w:r>
        <w:drawing>
          <wp:inline>
            <wp:extent cx="5334000" cy="3200399"/>
            <wp:effectExtent b="0" l="0" r="0" t="0"/>
            <wp:docPr descr="Tendencia del HHI sectorial de Ecuador, 2000–2024" title="" id="21" name="Picture"/>
            <a:graphic>
              <a:graphicData uri="http://schemas.openxmlformats.org/drawingml/2006/picture">
                <pic:pic>
                  <pic:nvPicPr>
                    <pic:cNvPr descr="../outputs/figures/hhi_ecuador.png" id="22" name="Picture"/>
                    <pic:cNvPicPr>
                      <a:picLocks noChangeArrowheads="1" noChangeAspect="1"/>
                    </pic:cNvPicPr>
                  </pic:nvPicPr>
                  <pic:blipFill>
                    <a:blip r:embed="rId20"/>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Tendencia del HHI sectorial de Ecuador, 2000–2024</w:t>
      </w:r>
    </w:p>
    <w:bookmarkEnd w:id="23"/>
    <w:bookmarkStart w:id="24" w:name="eficiencia-técnica-dea"/>
    <w:p>
      <w:pPr>
        <w:pStyle w:val="Heading2"/>
      </w:pPr>
      <w:r>
        <w:t xml:space="preserve">Eficiencia técnica (DEA)</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p>
        </w:tc>
        <w:tc>
          <w:tcPr/>
          <w:p>
            <w:pPr>
              <w:pStyle w:val="Compact"/>
            </w:pPr>
            <w:r>
              <w:t xml:space="preserve">model</w:t>
            </w:r>
          </w:p>
        </w:tc>
        <w:tc>
          <w:tcPr/>
          <w:p>
            <w:pPr>
              <w:pStyle w:val="Compact"/>
            </w:pPr>
            <w:r>
              <w:t xml:space="preserve">dmu</w:t>
            </w:r>
          </w:p>
        </w:tc>
        <w:tc>
          <w:tcPr/>
          <w:p>
            <w:pPr>
              <w:pStyle w:val="Compact"/>
            </w:pPr>
            <w:r>
              <w:t xml:space="preserve">n_inputs</w:t>
            </w:r>
          </w:p>
        </w:tc>
        <w:tc>
          <w:tcPr/>
          <w:p>
            <w:pPr>
              <w:pStyle w:val="Compact"/>
            </w:pPr>
            <w:r>
              <w:t xml:space="preserve">n_outputs</w:t>
            </w:r>
          </w:p>
        </w:tc>
        <w:tc>
          <w:tcPr/>
          <w:p>
            <w:pPr>
              <w:pStyle w:val="Compact"/>
            </w:pPr>
            <w:r>
              <w:t xml:space="preserve">n_dmu</w:t>
            </w:r>
          </w:p>
        </w:tc>
        <w:tc>
          <w:tcPr/>
          <w:p>
            <w:pPr>
              <w:pStyle w:val="Compact"/>
            </w:pPr>
            <w:r>
              <w:t xml:space="preserve">threshold_3x</w:t>
            </w:r>
          </w:p>
        </w:tc>
        <w:tc>
          <w:tcPr/>
          <w:p>
            <w:pPr>
              <w:pStyle w:val="Compact"/>
            </w:pPr>
            <w:r>
              <w:t xml:space="preserve">verdict</w:t>
            </w:r>
          </w:p>
        </w:tc>
        <w:tc>
          <w:tcPr/>
          <w:p>
            <w:pPr>
              <w:pStyle w:val="Compact"/>
            </w:pPr>
            <w:r>
              <w:t xml:space="preserve">n_efficient</w:t>
            </w:r>
          </w:p>
        </w:tc>
        <w:tc>
          <w:tcPr/>
          <w:p>
            <w:pPr>
              <w:pStyle w:val="Compact"/>
            </w:pPr>
            <w:r>
              <w:t xml:space="preserve">mean_efficiency</w:t>
            </w:r>
          </w:p>
        </w:tc>
        <w:tc>
          <w:tcPr/>
          <w:p>
            <w:pPr>
              <w:pStyle w:val="Compact"/>
            </w:pPr>
            <w:r>
              <w:t xml:space="preserve">inputs_used</w:t>
            </w:r>
          </w:p>
        </w:tc>
        <w:tc>
          <w:tcPr/>
          <w:p>
            <w:pPr>
              <w:pStyle w:val="Compact"/>
            </w:pPr>
            <w:r>
              <w:t xml:space="preserve">outputs_used</w:t>
            </w:r>
          </w:p>
        </w:tc>
        <w:tc>
          <w:tcPr/>
          <w:p>
            <w:pPr>
              <w:pStyle w:val="Compact"/>
            </w:pPr>
            <w:r>
              <w:t xml:space="preserve">coverage_note</w:t>
            </w:r>
          </w:p>
        </w:tc>
      </w:tr>
      <w:tr>
        <w:tc>
          <w:tcPr/>
          <w:p>
            <w:pPr>
              <w:pStyle w:val="Compact"/>
            </w:pPr>
            <w:r>
              <w:t xml:space="preserve">0</w:t>
            </w:r>
          </w:p>
        </w:tc>
        <w:tc>
          <w:tcPr/>
          <w:p>
            <w:pPr>
              <w:pStyle w:val="Compact"/>
            </w:pPr>
            <w:r>
              <w:t xml:space="preserve">Ecuador_Production_Frontier_DEA</w:t>
            </w:r>
          </w:p>
        </w:tc>
        <w:tc>
          <w:tcPr/>
          <w:p>
            <w:pPr>
              <w:pStyle w:val="Compact"/>
            </w:pPr>
            <w:r>
              <w:t xml:space="preserve">sector-year</w:t>
            </w:r>
          </w:p>
        </w:tc>
        <w:tc>
          <w:tcPr/>
          <w:p>
            <w:pPr>
              <w:pStyle w:val="Compact"/>
            </w:pPr>
            <w:r>
              <w:t xml:space="preserve">2</w:t>
            </w:r>
          </w:p>
        </w:tc>
        <w:tc>
          <w:tcPr/>
          <w:p>
            <w:pPr>
              <w:pStyle w:val="Compact"/>
            </w:pPr>
            <w:r>
              <w:t xml:space="preserve">1</w:t>
            </w:r>
          </w:p>
        </w:tc>
        <w:tc>
          <w:tcPr/>
          <w:p>
            <w:pPr>
              <w:pStyle w:val="Compact"/>
            </w:pPr>
            <w:r>
              <w:t xml:space="preserve">42</w:t>
            </w:r>
          </w:p>
        </w:tc>
        <w:tc>
          <w:tcPr/>
          <w:p>
            <w:pPr>
              <w:pStyle w:val="Compact"/>
            </w:pPr>
            <w:r>
              <w:t xml:space="preserve">9</w:t>
            </w:r>
          </w:p>
        </w:tc>
        <w:tc>
          <w:tcPr/>
          <w:p>
            <w:pPr>
              <w:pStyle w:val="Compact"/>
            </w:pPr>
            <w:r>
              <w:t xml:space="preserve">VALIDO</w:t>
            </w:r>
          </w:p>
        </w:tc>
        <w:tc>
          <w:tcPr/>
          <w:p>
            <w:pPr>
              <w:pStyle w:val="Compact"/>
            </w:pPr>
            <w:r>
              <w:t xml:space="preserve">4</w:t>
            </w:r>
          </w:p>
        </w:tc>
        <w:tc>
          <w:tcPr/>
          <w:p>
            <w:pPr>
              <w:pStyle w:val="Compact"/>
            </w:pPr>
            <w:r>
              <w:t xml:space="preserve">0.6519</w:t>
            </w:r>
          </w:p>
        </w:tc>
        <w:tc>
          <w:tcPr/>
          <w:p>
            <w:pPr>
              <w:pStyle w:val="Compact"/>
            </w:pPr>
            <w:r>
              <w:t xml:space="preserve">input_employment, input_capital_fbkf</w:t>
            </w:r>
          </w:p>
        </w:tc>
        <w:tc>
          <w:tcPr/>
          <w:p>
            <w:pPr>
              <w:pStyle w:val="Compact"/>
            </w:pPr>
            <w:r>
              <w:t xml:space="preserve">output_value_added</w:t>
            </w:r>
          </w:p>
        </w:tc>
        <w:tc>
          <w:tcPr/>
          <w:p>
            <w:pPr>
              <w:pStyle w:val="Compact"/>
            </w:pPr>
            <w:r>
              <w:t xml:space="preserve">Panel sector-año 2018-2023; trabajo (empleo) y...</w:t>
            </w:r>
          </w:p>
        </w:tc>
      </w:tr>
    </w:tbl>
    <w:p>
      <w:pPr>
        <w:pStyle w:val="BodyText"/>
      </w:pPr>
      <w:r>
        <w:t xml:space="preserve">El modelo de frontera de producción incluye 42 DMU (7 ramas × 6 años), 2 insumos</w:t>
      </w:r>
      <w:r>
        <w:t xml:space="preserve"> </w:t>
      </w:r>
      <w:r>
        <w:t xml:space="preserve">y 1 producto, con un umbral de adecuación de 9; el veredicto es</w:t>
      </w:r>
      <w:r>
        <w:t xml:space="preserve"> </w:t>
      </w:r>
      <w:r>
        <w:rPr>
          <w:b/>
          <w:bCs/>
        </w:rPr>
        <w:t xml:space="preserve">válido</w:t>
      </w:r>
      <w:r>
        <w:t xml:space="preserve">. La</w:t>
      </w:r>
      <w:r>
        <w:t xml:space="preserve"> </w:t>
      </w:r>
      <w:r>
        <w:t xml:space="preserve">eficiencia media es 0,652 y cuatro DMU operan sobre la frontera. La lectura</w:t>
      </w:r>
      <w:r>
        <w:t xml:space="preserve"> </w:t>
      </w:r>
      <w:r>
        <w:t xml:space="preserve">sectorial, promediando los años por rama, ordena la eficiencia técnica relativa: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factor</w:t>
            </w:r>
          </w:p>
        </w:tc>
        <w:tc>
          <w:tcPr/>
          <w:p>
            <w:pPr>
              <w:pStyle w:val="Compact"/>
            </w:pPr>
            <w:r>
              <w:t xml:space="preserve">mean_efficiency_sector</w:t>
            </w:r>
          </w:p>
        </w:tc>
      </w:tr>
      <w:tr>
        <w:tc>
          <w:tcPr/>
          <w:p>
            <w:pPr>
              <w:pStyle w:val="Compact"/>
            </w:pPr>
            <w:r>
              <w:t xml:space="preserve">0</w:t>
            </w:r>
          </w:p>
        </w:tc>
        <w:tc>
          <w:tcPr/>
          <w:p>
            <w:pPr>
              <w:pStyle w:val="Compact"/>
            </w:pPr>
            <w:r>
              <w:t xml:space="preserve">Construction</w:t>
            </w:r>
          </w:p>
        </w:tc>
        <w:tc>
          <w:tcPr/>
          <w:p>
            <w:pPr>
              <w:pStyle w:val="Compact"/>
            </w:pPr>
            <w:r>
              <w:t xml:space="preserve">0.937313</w:t>
            </w:r>
          </w:p>
        </w:tc>
      </w:tr>
      <w:tr>
        <w:tc>
          <w:tcPr/>
          <w:p>
            <w:pPr>
              <w:pStyle w:val="Compact"/>
            </w:pPr>
            <w:r>
              <w:t xml:space="preserve">1</w:t>
            </w:r>
          </w:p>
        </w:tc>
        <w:tc>
          <w:tcPr/>
          <w:p>
            <w:pPr>
              <w:pStyle w:val="Compact"/>
            </w:pPr>
            <w:r>
              <w:t xml:space="preserve">Mining &amp; utilities</w:t>
            </w:r>
          </w:p>
        </w:tc>
        <w:tc>
          <w:tcPr/>
          <w:p>
            <w:pPr>
              <w:pStyle w:val="Compact"/>
            </w:pPr>
            <w:r>
              <w:t xml:space="preserve">0.913275</w:t>
            </w:r>
          </w:p>
        </w:tc>
      </w:tr>
      <w:tr>
        <w:tc>
          <w:tcPr/>
          <w:p>
            <w:pPr>
              <w:pStyle w:val="Compact"/>
            </w:pPr>
            <w:r>
              <w:t xml:space="preserve">2</w:t>
            </w:r>
          </w:p>
        </w:tc>
        <w:tc>
          <w:tcPr/>
          <w:p>
            <w:pPr>
              <w:pStyle w:val="Compact"/>
            </w:pPr>
            <w:r>
              <w:t xml:space="preserve">Trade, restaurants &amp; hotels</w:t>
            </w:r>
          </w:p>
        </w:tc>
        <w:tc>
          <w:tcPr/>
          <w:p>
            <w:pPr>
              <w:pStyle w:val="Compact"/>
            </w:pPr>
            <w:r>
              <w:t xml:space="preserve">0.800986</w:t>
            </w:r>
          </w:p>
        </w:tc>
      </w:tr>
      <w:tr>
        <w:tc>
          <w:tcPr/>
          <w:p>
            <w:pPr>
              <w:pStyle w:val="Compact"/>
            </w:pPr>
            <w:r>
              <w:t xml:space="preserve">3</w:t>
            </w:r>
          </w:p>
        </w:tc>
        <w:tc>
          <w:tcPr/>
          <w:p>
            <w:pPr>
              <w:pStyle w:val="Compact"/>
            </w:pPr>
            <w:r>
              <w:t xml:space="preserve">Other activities</w:t>
            </w:r>
          </w:p>
        </w:tc>
        <w:tc>
          <w:tcPr/>
          <w:p>
            <w:pPr>
              <w:pStyle w:val="Compact"/>
            </w:pPr>
            <w:r>
              <w:t xml:space="preserve">0.590973</w:t>
            </w:r>
          </w:p>
        </w:tc>
      </w:tr>
      <w:tr>
        <w:tc>
          <w:tcPr/>
          <w:p>
            <w:pPr>
              <w:pStyle w:val="Compact"/>
            </w:pPr>
            <w:r>
              <w:t xml:space="preserve">4</w:t>
            </w:r>
          </w:p>
        </w:tc>
        <w:tc>
          <w:tcPr/>
          <w:p>
            <w:pPr>
              <w:pStyle w:val="Compact"/>
            </w:pPr>
            <w:r>
              <w:t xml:space="preserve">Manufacturing</w:t>
            </w:r>
          </w:p>
        </w:tc>
        <w:tc>
          <w:tcPr/>
          <w:p>
            <w:pPr>
              <w:pStyle w:val="Compact"/>
            </w:pPr>
            <w:r>
              <w:t xml:space="preserve">0.558110</w:t>
            </w:r>
          </w:p>
        </w:tc>
      </w:tr>
      <w:tr>
        <w:tc>
          <w:tcPr/>
          <w:p>
            <w:pPr>
              <w:pStyle w:val="Compact"/>
            </w:pPr>
            <w:r>
              <w:t xml:space="preserve">5</w:t>
            </w:r>
          </w:p>
        </w:tc>
        <w:tc>
          <w:tcPr/>
          <w:p>
            <w:pPr>
              <w:pStyle w:val="Compact"/>
            </w:pPr>
            <w:r>
              <w:t xml:space="preserve">Transport &amp; communication</w:t>
            </w:r>
          </w:p>
        </w:tc>
        <w:tc>
          <w:tcPr/>
          <w:p>
            <w:pPr>
              <w:pStyle w:val="Compact"/>
            </w:pPr>
            <w:r>
              <w:t xml:space="preserve">0.507340</w:t>
            </w:r>
          </w:p>
        </w:tc>
      </w:tr>
      <w:tr>
        <w:tc>
          <w:tcPr/>
          <w:p>
            <w:pPr>
              <w:pStyle w:val="Compact"/>
            </w:pPr>
            <w:r>
              <w:t xml:space="preserve">6</w:t>
            </w:r>
          </w:p>
        </w:tc>
        <w:tc>
          <w:tcPr/>
          <w:p>
            <w:pPr>
              <w:pStyle w:val="Compact"/>
            </w:pPr>
            <w:r>
              <w:t xml:space="preserve">Agriculture, forestry &amp; fishing</w:t>
            </w:r>
          </w:p>
        </w:tc>
        <w:tc>
          <w:tcPr/>
          <w:p>
            <w:pPr>
              <w:pStyle w:val="Compact"/>
            </w:pPr>
            <w:r>
              <w:t xml:space="preserve">0.255303</w:t>
            </w:r>
          </w:p>
        </w:tc>
      </w:tr>
    </w:tbl>
    <w:p>
      <w:pPr>
        <w:pStyle w:val="BodyText"/>
      </w:pPr>
      <w:r>
        <w:t xml:space="preserve">Construcción (0,937) y minería-utilities (0,913) operan cerca de la frontera,</w:t>
      </w:r>
      <w:r>
        <w:t xml:space="preserve"> </w:t>
      </w:r>
      <w:r>
        <w:t xml:space="preserve">seguidas por comercio-hoteles (0,801). En el extremo opuesto, agricultura</w:t>
      </w:r>
      <w:r>
        <w:t xml:space="preserve"> </w:t>
      </w:r>
      <w:r>
        <w:t xml:space="preserve">(0,255) y transporte-comunicación (0,507) presentan la menor eficiencia técnica</w:t>
      </w:r>
      <w:r>
        <w:t xml:space="preserve"> </w:t>
      </w:r>
      <w:r>
        <w:t xml:space="preserve">en la transformación de trabajo y capital en valor agregado.</w:t>
      </w:r>
    </w:p>
    <w:bookmarkEnd w:id="24"/>
    <w:bookmarkStart w:id="25" w:name="Xdc978f3bafb6d0464887b7999d6151304bc39c8"/>
    <w:p>
      <w:pPr>
        <w:pStyle w:val="Heading2"/>
      </w:pPr>
      <w:r>
        <w:t xml:space="preserve">Inferencia bootstrap (corrección de sesgo e intervalos)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r>
              <w:t xml:space="preserve">dmu</w:t>
            </w:r>
          </w:p>
        </w:tc>
        <w:tc>
          <w:tcPr/>
          <w:p>
            <w:pPr>
              <w:pStyle w:val="Compact"/>
            </w:pPr>
            <w:r>
              <w:t xml:space="preserve">factor</w:t>
            </w:r>
          </w:p>
        </w:tc>
        <w:tc>
          <w:tcPr/>
          <w:p>
            <w:pPr>
              <w:pStyle w:val="Compact"/>
            </w:pPr>
            <w:r>
              <w:t xml:space="preserve">year</w:t>
            </w:r>
          </w:p>
        </w:tc>
        <w:tc>
          <w:tcPr/>
          <w:p>
            <w:pPr>
              <w:pStyle w:val="Compact"/>
            </w:pPr>
            <w:r>
              <w:t xml:space="preserve">efficiency_ccr_input</w:t>
            </w:r>
          </w:p>
        </w:tc>
        <w:tc>
          <w:tcPr/>
          <w:p>
            <w:pPr>
              <w:pStyle w:val="Compact"/>
            </w:pPr>
            <w:r>
              <w:t xml:space="preserve">bias</w:t>
            </w:r>
          </w:p>
        </w:tc>
        <w:tc>
          <w:tcPr/>
          <w:p>
            <w:pPr>
              <w:pStyle w:val="Compact"/>
            </w:pPr>
            <w:r>
              <w:t xml:space="preserve">efficiency_bias_corrected</w:t>
            </w:r>
          </w:p>
        </w:tc>
        <w:tc>
          <w:tcPr/>
          <w:p>
            <w:pPr>
              <w:pStyle w:val="Compact"/>
            </w:pPr>
            <w:r>
              <w:t xml:space="preserve">ci_low</w:t>
            </w:r>
          </w:p>
        </w:tc>
        <w:tc>
          <w:tcPr/>
          <w:p>
            <w:pPr>
              <w:pStyle w:val="Compact"/>
            </w:pPr>
            <w:r>
              <w:t xml:space="preserve">ci_high</w:t>
            </w:r>
          </w:p>
        </w:tc>
      </w:tr>
      <w:tr>
        <w:tc>
          <w:tcPr/>
          <w:p>
            <w:pPr>
              <w:pStyle w:val="Compact"/>
            </w:pPr>
            <w:r>
              <w:t xml:space="preserve">0</w:t>
            </w:r>
          </w:p>
        </w:tc>
        <w:tc>
          <w:tcPr/>
          <w:p>
            <w:pPr>
              <w:pStyle w:val="Compact"/>
            </w:pPr>
            <w:r>
              <w:t xml:space="preserve">Construction_2023</w:t>
            </w:r>
          </w:p>
        </w:tc>
        <w:tc>
          <w:tcPr/>
          <w:p>
            <w:pPr>
              <w:pStyle w:val="Compact"/>
            </w:pPr>
            <w:r>
              <w:t xml:space="preserve">Construction</w:t>
            </w:r>
          </w:p>
        </w:tc>
        <w:tc>
          <w:tcPr/>
          <w:p>
            <w:pPr>
              <w:pStyle w:val="Compact"/>
            </w:pPr>
            <w:r>
              <w:t xml:space="preserve">2023</w:t>
            </w:r>
          </w:p>
        </w:tc>
        <w:tc>
          <w:tcPr/>
          <w:p>
            <w:pPr>
              <w:pStyle w:val="Compact"/>
            </w:pPr>
            <w:r>
              <w:t xml:space="preserve">1.0000</w:t>
            </w:r>
          </w:p>
        </w:tc>
        <w:tc>
          <w:tcPr/>
          <w:p>
            <w:pPr>
              <w:pStyle w:val="Compact"/>
            </w:pPr>
            <w:r>
              <w:t xml:space="preserve">0.1406</w:t>
            </w:r>
          </w:p>
        </w:tc>
        <w:tc>
          <w:tcPr/>
          <w:p>
            <w:pPr>
              <w:pStyle w:val="Compact"/>
            </w:pPr>
            <w:r>
              <w:t xml:space="preserve">0.8594</w:t>
            </w:r>
          </w:p>
        </w:tc>
        <w:tc>
          <w:tcPr/>
          <w:p>
            <w:pPr>
              <w:pStyle w:val="Compact"/>
            </w:pPr>
            <w:r>
              <w:t xml:space="preserve">0.7539</w:t>
            </w:r>
          </w:p>
        </w:tc>
        <w:tc>
          <w:tcPr/>
          <w:p>
            <w:pPr>
              <w:pStyle w:val="Compact"/>
            </w:pPr>
            <w:r>
              <w:t xml:space="preserve">0.9181</w:t>
            </w:r>
          </w:p>
        </w:tc>
      </w:tr>
      <w:tr>
        <w:tc>
          <w:tcPr/>
          <w:p>
            <w:pPr>
              <w:pStyle w:val="Compact"/>
            </w:pPr>
            <w:r>
              <w:t xml:space="preserve">1</w:t>
            </w:r>
          </w:p>
        </w:tc>
        <w:tc>
          <w:tcPr/>
          <w:p>
            <w:pPr>
              <w:pStyle w:val="Compact"/>
            </w:pPr>
            <w:r>
              <w:t xml:space="preserve">Construction_2021</w:t>
            </w:r>
          </w:p>
        </w:tc>
        <w:tc>
          <w:tcPr/>
          <w:p>
            <w:pPr>
              <w:pStyle w:val="Compact"/>
            </w:pPr>
            <w:r>
              <w:t xml:space="preserve">Construction</w:t>
            </w:r>
          </w:p>
        </w:tc>
        <w:tc>
          <w:tcPr/>
          <w:p>
            <w:pPr>
              <w:pStyle w:val="Compact"/>
            </w:pPr>
            <w:r>
              <w:t xml:space="preserve">2021</w:t>
            </w:r>
          </w:p>
        </w:tc>
        <w:tc>
          <w:tcPr/>
          <w:p>
            <w:pPr>
              <w:pStyle w:val="Compact"/>
            </w:pPr>
            <w:r>
              <w:t xml:space="preserve">1.0000</w:t>
            </w:r>
          </w:p>
        </w:tc>
        <w:tc>
          <w:tcPr/>
          <w:p>
            <w:pPr>
              <w:pStyle w:val="Compact"/>
            </w:pPr>
            <w:r>
              <w:t xml:space="preserve">0.1814</w:t>
            </w:r>
          </w:p>
        </w:tc>
        <w:tc>
          <w:tcPr/>
          <w:p>
            <w:pPr>
              <w:pStyle w:val="Compact"/>
            </w:pPr>
            <w:r>
              <w:t xml:space="preserve">0.8186</w:t>
            </w:r>
          </w:p>
        </w:tc>
        <w:tc>
          <w:tcPr/>
          <w:p>
            <w:pPr>
              <w:pStyle w:val="Compact"/>
            </w:pPr>
            <w:r>
              <w:t xml:space="preserve">0.6593</w:t>
            </w:r>
          </w:p>
        </w:tc>
        <w:tc>
          <w:tcPr/>
          <w:p>
            <w:pPr>
              <w:pStyle w:val="Compact"/>
            </w:pPr>
            <w:r>
              <w:t xml:space="preserve">0.9093</w:t>
            </w:r>
          </w:p>
        </w:tc>
      </w:tr>
      <w:tr>
        <w:tc>
          <w:tcPr/>
          <w:p>
            <w:pPr>
              <w:pStyle w:val="Compact"/>
            </w:pPr>
            <w:r>
              <w:t xml:space="preserve">2</w:t>
            </w:r>
          </w:p>
        </w:tc>
        <w:tc>
          <w:tcPr/>
          <w:p>
            <w:pPr>
              <w:pStyle w:val="Compact"/>
            </w:pPr>
            <w:r>
              <w:t xml:space="preserve">Construction_2019</w:t>
            </w:r>
          </w:p>
        </w:tc>
        <w:tc>
          <w:tcPr/>
          <w:p>
            <w:pPr>
              <w:pStyle w:val="Compact"/>
            </w:pPr>
            <w:r>
              <w:t xml:space="preserve">Construction</w:t>
            </w:r>
          </w:p>
        </w:tc>
        <w:tc>
          <w:tcPr/>
          <w:p>
            <w:pPr>
              <w:pStyle w:val="Compact"/>
            </w:pPr>
            <w:r>
              <w:t xml:space="preserve">2019</w:t>
            </w:r>
          </w:p>
        </w:tc>
        <w:tc>
          <w:tcPr/>
          <w:p>
            <w:pPr>
              <w:pStyle w:val="Compact"/>
            </w:pPr>
            <w:r>
              <w:t xml:space="preserve">0.9567</w:t>
            </w:r>
          </w:p>
        </w:tc>
        <w:tc>
          <w:tcPr/>
          <w:p>
            <w:pPr>
              <w:pStyle w:val="Compact"/>
            </w:pPr>
            <w:r>
              <w:t xml:space="preserve">0.1438</w:t>
            </w:r>
          </w:p>
        </w:tc>
        <w:tc>
          <w:tcPr/>
          <w:p>
            <w:pPr>
              <w:pStyle w:val="Compact"/>
            </w:pPr>
            <w:r>
              <w:t xml:space="preserve">0.8129</w:t>
            </w:r>
          </w:p>
        </w:tc>
        <w:tc>
          <w:tcPr/>
          <w:p>
            <w:pPr>
              <w:pStyle w:val="Compact"/>
            </w:pPr>
            <w:r>
              <w:t xml:space="preserve">0.6922</w:t>
            </w:r>
          </w:p>
        </w:tc>
        <w:tc>
          <w:tcPr/>
          <w:p>
            <w:pPr>
              <w:pStyle w:val="Compact"/>
            </w:pPr>
            <w:r>
              <w:t xml:space="preserve">0.8794</w:t>
            </w:r>
          </w:p>
        </w:tc>
      </w:tr>
      <w:tr>
        <w:tc>
          <w:tcPr/>
          <w:p>
            <w:pPr>
              <w:pStyle w:val="Compact"/>
            </w:pPr>
            <w:r>
              <w:t xml:space="preserve">3</w:t>
            </w:r>
          </w:p>
        </w:tc>
        <w:tc>
          <w:tcPr/>
          <w:p>
            <w:pPr>
              <w:pStyle w:val="Compact"/>
            </w:pPr>
            <w:r>
              <w:t xml:space="preserve">Trade, restaurants &amp; hotels_2020</w:t>
            </w:r>
          </w:p>
        </w:tc>
        <w:tc>
          <w:tcPr/>
          <w:p>
            <w:pPr>
              <w:pStyle w:val="Compact"/>
            </w:pPr>
            <w:r>
              <w:t xml:space="preserve">Trade, restaurants &amp; hotels</w:t>
            </w:r>
          </w:p>
        </w:tc>
        <w:tc>
          <w:tcPr/>
          <w:p>
            <w:pPr>
              <w:pStyle w:val="Compact"/>
            </w:pPr>
            <w:r>
              <w:t xml:space="preserve">2020</w:t>
            </w:r>
          </w:p>
        </w:tc>
        <w:tc>
          <w:tcPr/>
          <w:p>
            <w:pPr>
              <w:pStyle w:val="Compact"/>
            </w:pPr>
            <w:r>
              <w:t xml:space="preserve">0.9640</w:t>
            </w:r>
          </w:p>
        </w:tc>
        <w:tc>
          <w:tcPr/>
          <w:p>
            <w:pPr>
              <w:pStyle w:val="Compact"/>
            </w:pPr>
            <w:r>
              <w:t xml:space="preserve">0.1559</w:t>
            </w:r>
          </w:p>
        </w:tc>
        <w:tc>
          <w:tcPr/>
          <w:p>
            <w:pPr>
              <w:pStyle w:val="Compact"/>
            </w:pPr>
            <w:r>
              <w:t xml:space="preserve">0.8081</w:t>
            </w:r>
          </w:p>
        </w:tc>
        <w:tc>
          <w:tcPr/>
          <w:p>
            <w:pPr>
              <w:pStyle w:val="Compact"/>
            </w:pPr>
            <w:r>
              <w:t xml:space="preserve">0.6456</w:t>
            </w:r>
          </w:p>
        </w:tc>
        <w:tc>
          <w:tcPr/>
          <w:p>
            <w:pPr>
              <w:pStyle w:val="Compact"/>
            </w:pPr>
            <w:r>
              <w:t xml:space="preserve">0.8898</w:t>
            </w:r>
          </w:p>
        </w:tc>
      </w:tr>
      <w:tr>
        <w:tc>
          <w:tcPr/>
          <w:p>
            <w:pPr>
              <w:pStyle w:val="Compact"/>
            </w:pPr>
            <w:r>
              <w:t xml:space="preserve">4</w:t>
            </w:r>
          </w:p>
        </w:tc>
        <w:tc>
          <w:tcPr/>
          <w:p>
            <w:pPr>
              <w:pStyle w:val="Compact"/>
            </w:pPr>
            <w:r>
              <w:t xml:space="preserve">Construction_2022</w:t>
            </w:r>
          </w:p>
        </w:tc>
        <w:tc>
          <w:tcPr/>
          <w:p>
            <w:pPr>
              <w:pStyle w:val="Compact"/>
            </w:pPr>
            <w:r>
              <w:t xml:space="preserve">Construction</w:t>
            </w:r>
          </w:p>
        </w:tc>
        <w:tc>
          <w:tcPr/>
          <w:p>
            <w:pPr>
              <w:pStyle w:val="Compact"/>
            </w:pPr>
            <w:r>
              <w:t xml:space="preserve">2022</w:t>
            </w:r>
          </w:p>
        </w:tc>
        <w:tc>
          <w:tcPr/>
          <w:p>
            <w:pPr>
              <w:pStyle w:val="Compact"/>
            </w:pPr>
            <w:r>
              <w:t xml:space="preserve">0.9085</w:t>
            </w:r>
          </w:p>
        </w:tc>
        <w:tc>
          <w:tcPr/>
          <w:p>
            <w:pPr>
              <w:pStyle w:val="Compact"/>
            </w:pPr>
            <w:r>
              <w:t xml:space="preserve">0.1230</w:t>
            </w:r>
          </w:p>
        </w:tc>
        <w:tc>
          <w:tcPr/>
          <w:p>
            <w:pPr>
              <w:pStyle w:val="Compact"/>
            </w:pPr>
            <w:r>
              <w:t xml:space="preserve">0.7855</w:t>
            </w:r>
          </w:p>
        </w:tc>
        <w:tc>
          <w:tcPr/>
          <w:p>
            <w:pPr>
              <w:pStyle w:val="Compact"/>
            </w:pPr>
            <w:r>
              <w:t xml:space="preserve">0.6935</w:t>
            </w:r>
          </w:p>
        </w:tc>
        <w:tc>
          <w:tcPr/>
          <w:p>
            <w:pPr>
              <w:pStyle w:val="Compact"/>
            </w:pPr>
            <w:r>
              <w:t xml:space="preserve">0.8382</w:t>
            </w:r>
          </w:p>
        </w:tc>
      </w:tr>
      <w:tr>
        <w:tc>
          <w:tcPr/>
          <w:p>
            <w:pPr>
              <w:pStyle w:val="Compact"/>
            </w:pPr>
            <w:r>
              <w:t xml:space="preserve">5</w:t>
            </w:r>
          </w:p>
        </w:tc>
        <w:tc>
          <w:tcPr/>
          <w:p>
            <w:pPr>
              <w:pStyle w:val="Compact"/>
            </w:pPr>
            <w:r>
              <w:t xml:space="preserve">Mining &amp; utilities_2019</w:t>
            </w:r>
          </w:p>
        </w:tc>
        <w:tc>
          <w:tcPr/>
          <w:p>
            <w:pPr>
              <w:pStyle w:val="Compact"/>
            </w:pPr>
            <w:r>
              <w:t xml:space="preserve">Mining &amp; utilities</w:t>
            </w:r>
          </w:p>
        </w:tc>
        <w:tc>
          <w:tcPr/>
          <w:p>
            <w:pPr>
              <w:pStyle w:val="Compact"/>
            </w:pPr>
            <w:r>
              <w:t xml:space="preserve">2019</w:t>
            </w:r>
          </w:p>
        </w:tc>
        <w:tc>
          <w:tcPr/>
          <w:p>
            <w:pPr>
              <w:pStyle w:val="Compact"/>
            </w:pPr>
            <w:r>
              <w:t xml:space="preserve">1.0000</w:t>
            </w:r>
          </w:p>
        </w:tc>
        <w:tc>
          <w:tcPr/>
          <w:p>
            <w:pPr>
              <w:pStyle w:val="Compact"/>
            </w:pPr>
            <w:r>
              <w:t xml:space="preserve">0.2274</w:t>
            </w:r>
          </w:p>
        </w:tc>
        <w:tc>
          <w:tcPr/>
          <w:p>
            <w:pPr>
              <w:pStyle w:val="Compact"/>
            </w:pPr>
            <w:r>
              <w:t xml:space="preserve">0.7726</w:t>
            </w:r>
          </w:p>
        </w:tc>
        <w:tc>
          <w:tcPr/>
          <w:p>
            <w:pPr>
              <w:pStyle w:val="Compact"/>
            </w:pPr>
            <w:r>
              <w:t xml:space="preserve">0.4234</w:t>
            </w:r>
          </w:p>
        </w:tc>
        <w:tc>
          <w:tcPr/>
          <w:p>
            <w:pPr>
              <w:pStyle w:val="Compact"/>
            </w:pPr>
            <w:r>
              <w:t xml:space="preserve">0.9099</w:t>
            </w:r>
          </w:p>
        </w:tc>
      </w:tr>
      <w:tr>
        <w:tc>
          <w:tcPr/>
          <w:p>
            <w:pPr>
              <w:pStyle w:val="Compact"/>
            </w:pPr>
            <w:r>
              <w:t xml:space="preserve">6</w:t>
            </w:r>
          </w:p>
        </w:tc>
        <w:tc>
          <w:tcPr/>
          <w:p>
            <w:pPr>
              <w:pStyle w:val="Compact"/>
            </w:pPr>
            <w:r>
              <w:t xml:space="preserve">Construction_2018</w:t>
            </w:r>
          </w:p>
        </w:tc>
        <w:tc>
          <w:tcPr/>
          <w:p>
            <w:pPr>
              <w:pStyle w:val="Compact"/>
            </w:pPr>
            <w:r>
              <w:t xml:space="preserve">Construction</w:t>
            </w:r>
          </w:p>
        </w:tc>
        <w:tc>
          <w:tcPr/>
          <w:p>
            <w:pPr>
              <w:pStyle w:val="Compact"/>
            </w:pPr>
            <w:r>
              <w:t xml:space="preserve">2018</w:t>
            </w:r>
          </w:p>
        </w:tc>
        <w:tc>
          <w:tcPr/>
          <w:p>
            <w:pPr>
              <w:pStyle w:val="Compact"/>
            </w:pPr>
            <w:r>
              <w:t xml:space="preserve">0.8620</w:t>
            </w:r>
          </w:p>
        </w:tc>
        <w:tc>
          <w:tcPr/>
          <w:p>
            <w:pPr>
              <w:pStyle w:val="Compact"/>
            </w:pPr>
            <w:r>
              <w:t xml:space="preserve">0.1088</w:t>
            </w:r>
          </w:p>
        </w:tc>
        <w:tc>
          <w:tcPr/>
          <w:p>
            <w:pPr>
              <w:pStyle w:val="Compact"/>
            </w:pPr>
            <w:r>
              <w:t xml:space="preserve">0.7532</w:t>
            </w:r>
          </w:p>
        </w:tc>
        <w:tc>
          <w:tcPr/>
          <w:p>
            <w:pPr>
              <w:pStyle w:val="Compact"/>
            </w:pPr>
            <w:r>
              <w:t xml:space="preserve">0.6775</w:t>
            </w:r>
          </w:p>
        </w:tc>
        <w:tc>
          <w:tcPr/>
          <w:p>
            <w:pPr>
              <w:pStyle w:val="Compact"/>
            </w:pPr>
            <w:r>
              <w:t xml:space="preserve">0.7965</w:t>
            </w:r>
          </w:p>
        </w:tc>
      </w:tr>
      <w:tr>
        <w:tc>
          <w:tcPr/>
          <w:p>
            <w:pPr>
              <w:pStyle w:val="Compact"/>
            </w:pPr>
            <w:r>
              <w:t xml:space="preserve">7</w:t>
            </w:r>
          </w:p>
        </w:tc>
        <w:tc>
          <w:tcPr/>
          <w:p>
            <w:pPr>
              <w:pStyle w:val="Compact"/>
            </w:pPr>
            <w:r>
              <w:t xml:space="preserve">Construction_2020</w:t>
            </w:r>
          </w:p>
        </w:tc>
        <w:tc>
          <w:tcPr/>
          <w:p>
            <w:pPr>
              <w:pStyle w:val="Compact"/>
            </w:pPr>
            <w:r>
              <w:t xml:space="preserve">Construction</w:t>
            </w:r>
          </w:p>
        </w:tc>
        <w:tc>
          <w:tcPr/>
          <w:p>
            <w:pPr>
              <w:pStyle w:val="Compact"/>
            </w:pPr>
            <w:r>
              <w:t xml:space="preserve">2020</w:t>
            </w:r>
          </w:p>
        </w:tc>
        <w:tc>
          <w:tcPr/>
          <w:p>
            <w:pPr>
              <w:pStyle w:val="Compact"/>
            </w:pPr>
            <w:r>
              <w:t xml:space="preserve">0.8967</w:t>
            </w:r>
          </w:p>
        </w:tc>
        <w:tc>
          <w:tcPr/>
          <w:p>
            <w:pPr>
              <w:pStyle w:val="Compact"/>
            </w:pPr>
            <w:r>
              <w:t xml:space="preserve">0.1524</w:t>
            </w:r>
          </w:p>
        </w:tc>
        <w:tc>
          <w:tcPr/>
          <w:p>
            <w:pPr>
              <w:pStyle w:val="Compact"/>
            </w:pPr>
            <w:r>
              <w:t xml:space="preserve">0.7443</w:t>
            </w:r>
          </w:p>
        </w:tc>
        <w:tc>
          <w:tcPr/>
          <w:p>
            <w:pPr>
              <w:pStyle w:val="Compact"/>
            </w:pPr>
            <w:r>
              <w:t xml:space="preserve">0.6086</w:t>
            </w:r>
          </w:p>
        </w:tc>
        <w:tc>
          <w:tcPr/>
          <w:p>
            <w:pPr>
              <w:pStyle w:val="Compact"/>
            </w:pPr>
            <w:r>
              <w:t xml:space="preserve">0.8204</w:t>
            </w:r>
          </w:p>
        </w:tc>
      </w:tr>
      <w:tr>
        <w:tc>
          <w:tcPr/>
          <w:p>
            <w:pPr>
              <w:pStyle w:val="Compact"/>
            </w:pPr>
            <w:r>
              <w:t xml:space="preserve">8</w:t>
            </w:r>
          </w:p>
        </w:tc>
        <w:tc>
          <w:tcPr/>
          <w:p>
            <w:pPr>
              <w:pStyle w:val="Compact"/>
            </w:pPr>
            <w:r>
              <w:t xml:space="preserve">Mining &amp; utilities_2018</w:t>
            </w:r>
          </w:p>
        </w:tc>
        <w:tc>
          <w:tcPr/>
          <w:p>
            <w:pPr>
              <w:pStyle w:val="Compact"/>
            </w:pPr>
            <w:r>
              <w:t xml:space="preserve">Mining &amp; utilities</w:t>
            </w:r>
          </w:p>
        </w:tc>
        <w:tc>
          <w:tcPr/>
          <w:p>
            <w:pPr>
              <w:pStyle w:val="Compact"/>
            </w:pPr>
            <w:r>
              <w:t xml:space="preserve">2018</w:t>
            </w:r>
          </w:p>
        </w:tc>
        <w:tc>
          <w:tcPr/>
          <w:p>
            <w:pPr>
              <w:pStyle w:val="Compact"/>
            </w:pPr>
            <w:r>
              <w:t xml:space="preserve">0.9466</w:t>
            </w:r>
          </w:p>
        </w:tc>
        <w:tc>
          <w:tcPr/>
          <w:p>
            <w:pPr>
              <w:pStyle w:val="Compact"/>
            </w:pPr>
            <w:r>
              <w:t xml:space="preserve">0.2036</w:t>
            </w:r>
          </w:p>
        </w:tc>
        <w:tc>
          <w:tcPr/>
          <w:p>
            <w:pPr>
              <w:pStyle w:val="Compact"/>
            </w:pPr>
            <w:r>
              <w:t xml:space="preserve">0.7430</w:t>
            </w:r>
          </w:p>
        </w:tc>
        <w:tc>
          <w:tcPr/>
          <w:p>
            <w:pPr>
              <w:pStyle w:val="Compact"/>
            </w:pPr>
            <w:r>
              <w:t xml:space="preserve">0.4221</w:t>
            </w:r>
          </w:p>
        </w:tc>
        <w:tc>
          <w:tcPr/>
          <w:p>
            <w:pPr>
              <w:pStyle w:val="Compact"/>
            </w:pPr>
            <w:r>
              <w:t xml:space="preserve">0.8662</w:t>
            </w:r>
          </w:p>
        </w:tc>
      </w:tr>
      <w:tr>
        <w:tc>
          <w:tcPr/>
          <w:p>
            <w:pPr>
              <w:pStyle w:val="Compact"/>
            </w:pPr>
            <w:r>
              <w:t xml:space="preserve">9</w:t>
            </w:r>
          </w:p>
        </w:tc>
        <w:tc>
          <w:tcPr/>
          <w:p>
            <w:pPr>
              <w:pStyle w:val="Compact"/>
            </w:pPr>
            <w:r>
              <w:t xml:space="preserve">Mining &amp; utilities_2022</w:t>
            </w:r>
          </w:p>
        </w:tc>
        <w:tc>
          <w:tcPr/>
          <w:p>
            <w:pPr>
              <w:pStyle w:val="Compact"/>
            </w:pPr>
            <w:r>
              <w:t xml:space="preserve">Mining &amp; utilities</w:t>
            </w:r>
          </w:p>
        </w:tc>
        <w:tc>
          <w:tcPr/>
          <w:p>
            <w:pPr>
              <w:pStyle w:val="Compact"/>
            </w:pPr>
            <w:r>
              <w:t xml:space="preserve">2022</w:t>
            </w:r>
          </w:p>
        </w:tc>
        <w:tc>
          <w:tcPr/>
          <w:p>
            <w:pPr>
              <w:pStyle w:val="Compact"/>
            </w:pPr>
            <w:r>
              <w:t xml:space="preserve">1.0000</w:t>
            </w:r>
          </w:p>
        </w:tc>
        <w:tc>
          <w:tcPr/>
          <w:p>
            <w:pPr>
              <w:pStyle w:val="Compact"/>
            </w:pPr>
            <w:r>
              <w:t xml:space="preserve">0.2896</w:t>
            </w:r>
          </w:p>
        </w:tc>
        <w:tc>
          <w:tcPr/>
          <w:p>
            <w:pPr>
              <w:pStyle w:val="Compact"/>
            </w:pPr>
            <w:r>
              <w:t xml:space="preserve">0.7104</w:t>
            </w:r>
          </w:p>
        </w:tc>
        <w:tc>
          <w:tcPr/>
          <w:p>
            <w:pPr>
              <w:pStyle w:val="Compact"/>
            </w:pPr>
            <w:r>
              <w:t xml:space="preserve">0.3291</w:t>
            </w:r>
          </w:p>
        </w:tc>
        <w:tc>
          <w:tcPr/>
          <w:p>
            <w:pPr>
              <w:pStyle w:val="Compact"/>
            </w:pPr>
            <w:r>
              <w:t xml:space="preserve">0.9096</w:t>
            </w:r>
          </w:p>
        </w:tc>
      </w:tr>
      <w:tr>
        <w:tc>
          <w:tcPr/>
          <w:p>
            <w:pPr>
              <w:pStyle w:val="Compact"/>
            </w:pPr>
            <w:r>
              <w:t xml:space="preserve">10</w:t>
            </w:r>
          </w:p>
        </w:tc>
        <w:tc>
          <w:tcPr/>
          <w:p>
            <w:pPr>
              <w:pStyle w:val="Compact"/>
            </w:pPr>
            <w:r>
              <w:t xml:space="preserve">Trade, restaurants &amp; hotels_2021</w:t>
            </w:r>
          </w:p>
        </w:tc>
        <w:tc>
          <w:tcPr/>
          <w:p>
            <w:pPr>
              <w:pStyle w:val="Compact"/>
            </w:pPr>
            <w:r>
              <w:t xml:space="preserve">Trade, restaurants &amp; hotels</w:t>
            </w:r>
          </w:p>
        </w:tc>
        <w:tc>
          <w:tcPr/>
          <w:p>
            <w:pPr>
              <w:pStyle w:val="Compact"/>
            </w:pPr>
            <w:r>
              <w:t xml:space="preserve">2021</w:t>
            </w:r>
          </w:p>
        </w:tc>
        <w:tc>
          <w:tcPr/>
          <w:p>
            <w:pPr>
              <w:pStyle w:val="Compact"/>
            </w:pPr>
            <w:r>
              <w:t xml:space="preserve">0.8394</w:t>
            </w:r>
          </w:p>
        </w:tc>
        <w:tc>
          <w:tcPr/>
          <w:p>
            <w:pPr>
              <w:pStyle w:val="Compact"/>
            </w:pPr>
            <w:r>
              <w:t xml:space="preserve">0.1406</w:t>
            </w:r>
          </w:p>
        </w:tc>
        <w:tc>
          <w:tcPr/>
          <w:p>
            <w:pPr>
              <w:pStyle w:val="Compact"/>
            </w:pPr>
            <w:r>
              <w:t xml:space="preserve">0.6988</w:t>
            </w:r>
          </w:p>
        </w:tc>
        <w:tc>
          <w:tcPr/>
          <w:p>
            <w:pPr>
              <w:pStyle w:val="Compact"/>
            </w:pPr>
            <w:r>
              <w:t xml:space="preserve">0.5620</w:t>
            </w:r>
          </w:p>
        </w:tc>
        <w:tc>
          <w:tcPr/>
          <w:p>
            <w:pPr>
              <w:pStyle w:val="Compact"/>
            </w:pPr>
            <w:r>
              <w:t xml:space="preserve">0.7733</w:t>
            </w:r>
          </w:p>
        </w:tc>
      </w:tr>
      <w:tr>
        <w:tc>
          <w:tcPr/>
          <w:p>
            <w:pPr>
              <w:pStyle w:val="Compact"/>
            </w:pPr>
            <w:r>
              <w:t xml:space="preserve">11</w:t>
            </w:r>
          </w:p>
        </w:tc>
        <w:tc>
          <w:tcPr/>
          <w:p>
            <w:pPr>
              <w:pStyle w:val="Compact"/>
            </w:pPr>
            <w:r>
              <w:t xml:space="preserve">Mining &amp; utilities_2021</w:t>
            </w:r>
          </w:p>
        </w:tc>
        <w:tc>
          <w:tcPr/>
          <w:p>
            <w:pPr>
              <w:pStyle w:val="Compact"/>
            </w:pPr>
            <w:r>
              <w:t xml:space="preserve">Mining &amp; utilities</w:t>
            </w:r>
          </w:p>
        </w:tc>
        <w:tc>
          <w:tcPr/>
          <w:p>
            <w:pPr>
              <w:pStyle w:val="Compact"/>
            </w:pPr>
            <w:r>
              <w:t xml:space="preserve">2021</w:t>
            </w:r>
          </w:p>
        </w:tc>
        <w:tc>
          <w:tcPr/>
          <w:p>
            <w:pPr>
              <w:pStyle w:val="Compact"/>
            </w:pPr>
            <w:r>
              <w:t xml:space="preserve">0.9259</w:t>
            </w:r>
          </w:p>
        </w:tc>
        <w:tc>
          <w:tcPr/>
          <w:p>
            <w:pPr>
              <w:pStyle w:val="Compact"/>
            </w:pPr>
            <w:r>
              <w:t xml:space="preserve">0.2389</w:t>
            </w:r>
          </w:p>
        </w:tc>
        <w:tc>
          <w:tcPr/>
          <w:p>
            <w:pPr>
              <w:pStyle w:val="Compact"/>
            </w:pPr>
            <w:r>
              <w:t xml:space="preserve">0.6870</w:t>
            </w:r>
          </w:p>
        </w:tc>
        <w:tc>
          <w:tcPr/>
          <w:p>
            <w:pPr>
              <w:pStyle w:val="Compact"/>
            </w:pPr>
            <w:r>
              <w:t xml:space="preserve">0.3517</w:t>
            </w:r>
          </w:p>
        </w:tc>
        <w:tc>
          <w:tcPr/>
          <w:p>
            <w:pPr>
              <w:pStyle w:val="Compact"/>
            </w:pPr>
            <w:r>
              <w:t xml:space="preserve">0.8483</w:t>
            </w:r>
          </w:p>
        </w:tc>
      </w:tr>
      <w:tr>
        <w:tc>
          <w:tcPr/>
          <w:p>
            <w:pPr>
              <w:pStyle w:val="Compact"/>
            </w:pPr>
            <w:r>
              <w:t xml:space="preserve">12</w:t>
            </w:r>
          </w:p>
        </w:tc>
        <w:tc>
          <w:tcPr/>
          <w:p>
            <w:pPr>
              <w:pStyle w:val="Compact"/>
            </w:pPr>
            <w:r>
              <w:t xml:space="preserve">Trade, restaurants &amp; hotels_2022</w:t>
            </w:r>
          </w:p>
        </w:tc>
        <w:tc>
          <w:tcPr/>
          <w:p>
            <w:pPr>
              <w:pStyle w:val="Compact"/>
            </w:pPr>
            <w:r>
              <w:t xml:space="preserve">Trade, restaurants &amp; hotels</w:t>
            </w:r>
          </w:p>
        </w:tc>
        <w:tc>
          <w:tcPr/>
          <w:p>
            <w:pPr>
              <w:pStyle w:val="Compact"/>
            </w:pPr>
            <w:r>
              <w:t xml:space="preserve">2022</w:t>
            </w:r>
          </w:p>
        </w:tc>
        <w:tc>
          <w:tcPr/>
          <w:p>
            <w:pPr>
              <w:pStyle w:val="Compact"/>
            </w:pPr>
            <w:r>
              <w:t xml:space="preserve">0.7751</w:t>
            </w:r>
          </w:p>
        </w:tc>
        <w:tc>
          <w:tcPr/>
          <w:p>
            <w:pPr>
              <w:pStyle w:val="Compact"/>
            </w:pPr>
            <w:r>
              <w:t xml:space="preserve">0.1170</w:t>
            </w:r>
          </w:p>
        </w:tc>
        <w:tc>
          <w:tcPr/>
          <w:p>
            <w:pPr>
              <w:pStyle w:val="Compact"/>
            </w:pPr>
            <w:r>
              <w:t xml:space="preserve">0.6581</w:t>
            </w:r>
          </w:p>
        </w:tc>
        <w:tc>
          <w:tcPr/>
          <w:p>
            <w:pPr>
              <w:pStyle w:val="Compact"/>
            </w:pPr>
            <w:r>
              <w:t xml:space="preserve">0.5567</w:t>
            </w:r>
          </w:p>
        </w:tc>
        <w:tc>
          <w:tcPr/>
          <w:p>
            <w:pPr>
              <w:pStyle w:val="Compact"/>
            </w:pPr>
            <w:r>
              <w:t xml:space="preserve">0.7122</w:t>
            </w:r>
          </w:p>
        </w:tc>
      </w:tr>
      <w:tr>
        <w:tc>
          <w:tcPr/>
          <w:p>
            <w:pPr>
              <w:pStyle w:val="Compact"/>
            </w:pPr>
            <w:r>
              <w:t xml:space="preserve">13</w:t>
            </w:r>
          </w:p>
        </w:tc>
        <w:tc>
          <w:tcPr/>
          <w:p>
            <w:pPr>
              <w:pStyle w:val="Compact"/>
            </w:pPr>
            <w:r>
              <w:t xml:space="preserve">Mining &amp; utilities_2023</w:t>
            </w:r>
          </w:p>
        </w:tc>
        <w:tc>
          <w:tcPr/>
          <w:p>
            <w:pPr>
              <w:pStyle w:val="Compact"/>
            </w:pPr>
            <w:r>
              <w:t xml:space="preserve">Mining &amp; utilities</w:t>
            </w:r>
          </w:p>
        </w:tc>
        <w:tc>
          <w:tcPr/>
          <w:p>
            <w:pPr>
              <w:pStyle w:val="Compact"/>
            </w:pPr>
            <w:r>
              <w:t xml:space="preserve">2023</w:t>
            </w:r>
          </w:p>
        </w:tc>
        <w:tc>
          <w:tcPr/>
          <w:p>
            <w:pPr>
              <w:pStyle w:val="Compact"/>
            </w:pPr>
            <w:r>
              <w:t xml:space="preserve">0.9030</w:t>
            </w:r>
          </w:p>
        </w:tc>
        <w:tc>
          <w:tcPr/>
          <w:p>
            <w:pPr>
              <w:pStyle w:val="Compact"/>
            </w:pPr>
            <w:r>
              <w:t xml:space="preserve">0.2515</w:t>
            </w:r>
          </w:p>
        </w:tc>
        <w:tc>
          <w:tcPr/>
          <w:p>
            <w:pPr>
              <w:pStyle w:val="Compact"/>
            </w:pPr>
            <w:r>
              <w:t xml:space="preserve">0.6515</w:t>
            </w:r>
          </w:p>
        </w:tc>
        <w:tc>
          <w:tcPr/>
          <w:p>
            <w:pPr>
              <w:pStyle w:val="Compact"/>
            </w:pPr>
            <w:r>
              <w:t xml:space="preserve">0.3073</w:t>
            </w:r>
          </w:p>
        </w:tc>
        <w:tc>
          <w:tcPr/>
          <w:p>
            <w:pPr>
              <w:pStyle w:val="Compact"/>
            </w:pPr>
            <w:r>
              <w:t xml:space="preserve">0.8300</w:t>
            </w:r>
          </w:p>
        </w:tc>
      </w:tr>
      <w:tr>
        <w:tc>
          <w:tcPr/>
          <w:p>
            <w:pPr>
              <w:pStyle w:val="Compact"/>
            </w:pPr>
            <w:r>
              <w:t xml:space="preserve">14</w:t>
            </w:r>
          </w:p>
        </w:tc>
        <w:tc>
          <w:tcPr/>
          <w:p>
            <w:pPr>
              <w:pStyle w:val="Compact"/>
            </w:pPr>
            <w:r>
              <w:t xml:space="preserve">Trade, restaurants &amp; hotels_2023</w:t>
            </w:r>
          </w:p>
        </w:tc>
        <w:tc>
          <w:tcPr/>
          <w:p>
            <w:pPr>
              <w:pStyle w:val="Compact"/>
            </w:pPr>
            <w:r>
              <w:t xml:space="preserve">Trade, restaurants &amp; hotels</w:t>
            </w:r>
          </w:p>
        </w:tc>
        <w:tc>
          <w:tcPr/>
          <w:p>
            <w:pPr>
              <w:pStyle w:val="Compact"/>
            </w:pPr>
            <w:r>
              <w:t xml:space="preserve">2023</w:t>
            </w:r>
          </w:p>
        </w:tc>
        <w:tc>
          <w:tcPr/>
          <w:p>
            <w:pPr>
              <w:pStyle w:val="Compact"/>
            </w:pPr>
            <w:r>
              <w:t xml:space="preserve">0.7406</w:t>
            </w:r>
          </w:p>
        </w:tc>
        <w:tc>
          <w:tcPr/>
          <w:p>
            <w:pPr>
              <w:pStyle w:val="Compact"/>
            </w:pPr>
            <w:r>
              <w:t xml:space="preserve">0.1036</w:t>
            </w:r>
          </w:p>
        </w:tc>
        <w:tc>
          <w:tcPr/>
          <w:p>
            <w:pPr>
              <w:pStyle w:val="Compact"/>
            </w:pPr>
            <w:r>
              <w:t xml:space="preserve">0.6370</w:t>
            </w:r>
          </w:p>
        </w:tc>
        <w:tc>
          <w:tcPr/>
          <w:p>
            <w:pPr>
              <w:pStyle w:val="Compact"/>
            </w:pPr>
            <w:r>
              <w:t xml:space="preserve">0.5587</w:t>
            </w:r>
          </w:p>
        </w:tc>
        <w:tc>
          <w:tcPr/>
          <w:p>
            <w:pPr>
              <w:pStyle w:val="Compact"/>
            </w:pPr>
            <w:r>
              <w:t xml:space="preserve">0.6806</w:t>
            </w:r>
          </w:p>
        </w:tc>
      </w:tr>
      <w:tr>
        <w:tc>
          <w:tcPr/>
          <w:p>
            <w:pPr>
              <w:pStyle w:val="Compact"/>
            </w:pPr>
            <w:r>
              <w:t xml:space="preserve">15</w:t>
            </w:r>
          </w:p>
        </w:tc>
        <w:tc>
          <w:tcPr/>
          <w:p>
            <w:pPr>
              <w:pStyle w:val="Compact"/>
            </w:pPr>
            <w:r>
              <w:t xml:space="preserve">Trade, restaurants &amp; hotels_2018</w:t>
            </w:r>
          </w:p>
        </w:tc>
        <w:tc>
          <w:tcPr/>
          <w:p>
            <w:pPr>
              <w:pStyle w:val="Compact"/>
            </w:pPr>
            <w:r>
              <w:t xml:space="preserve">Trade, restaurants &amp; hotels</w:t>
            </w:r>
          </w:p>
        </w:tc>
        <w:tc>
          <w:tcPr/>
          <w:p>
            <w:pPr>
              <w:pStyle w:val="Compact"/>
            </w:pPr>
            <w:r>
              <w:t xml:space="preserve">2018</w:t>
            </w:r>
          </w:p>
        </w:tc>
        <w:tc>
          <w:tcPr/>
          <w:p>
            <w:pPr>
              <w:pStyle w:val="Compact"/>
            </w:pPr>
            <w:r>
              <w:t xml:space="preserve">0.7397</w:t>
            </w:r>
          </w:p>
        </w:tc>
        <w:tc>
          <w:tcPr/>
          <w:p>
            <w:pPr>
              <w:pStyle w:val="Compact"/>
            </w:pPr>
            <w:r>
              <w:t xml:space="preserve">0.1235</w:t>
            </w:r>
          </w:p>
        </w:tc>
        <w:tc>
          <w:tcPr/>
          <w:p>
            <w:pPr>
              <w:pStyle w:val="Compact"/>
            </w:pPr>
            <w:r>
              <w:t xml:space="preserve">0.6161</w:t>
            </w:r>
          </w:p>
        </w:tc>
        <w:tc>
          <w:tcPr/>
          <w:p>
            <w:pPr>
              <w:pStyle w:val="Compact"/>
            </w:pPr>
            <w:r>
              <w:t xml:space="preserve">0.4948</w:t>
            </w:r>
          </w:p>
        </w:tc>
        <w:tc>
          <w:tcPr/>
          <w:p>
            <w:pPr>
              <w:pStyle w:val="Compact"/>
            </w:pPr>
            <w:r>
              <w:t xml:space="preserve">0.6818</w:t>
            </w:r>
          </w:p>
        </w:tc>
      </w:tr>
      <w:tr>
        <w:tc>
          <w:tcPr/>
          <w:p>
            <w:pPr>
              <w:pStyle w:val="Compact"/>
            </w:pPr>
            <w:r>
              <w:t xml:space="preserve">16</w:t>
            </w:r>
          </w:p>
        </w:tc>
        <w:tc>
          <w:tcPr/>
          <w:p>
            <w:pPr>
              <w:pStyle w:val="Compact"/>
            </w:pPr>
            <w:r>
              <w:t xml:space="preserve">Trade, restaurants &amp; hotels_2019</w:t>
            </w:r>
          </w:p>
        </w:tc>
        <w:tc>
          <w:tcPr/>
          <w:p>
            <w:pPr>
              <w:pStyle w:val="Compact"/>
            </w:pPr>
            <w:r>
              <w:t xml:space="preserve">Trade, restaurants &amp; hotels</w:t>
            </w:r>
          </w:p>
        </w:tc>
        <w:tc>
          <w:tcPr/>
          <w:p>
            <w:pPr>
              <w:pStyle w:val="Compact"/>
            </w:pPr>
            <w:r>
              <w:t xml:space="preserve">2019</w:t>
            </w:r>
          </w:p>
        </w:tc>
        <w:tc>
          <w:tcPr/>
          <w:p>
            <w:pPr>
              <w:pStyle w:val="Compact"/>
            </w:pPr>
            <w:r>
              <w:t xml:space="preserve">0.7471</w:t>
            </w:r>
          </w:p>
        </w:tc>
        <w:tc>
          <w:tcPr/>
          <w:p>
            <w:pPr>
              <w:pStyle w:val="Compact"/>
            </w:pPr>
            <w:r>
              <w:t xml:space="preserve">0.1321</w:t>
            </w:r>
          </w:p>
        </w:tc>
        <w:tc>
          <w:tcPr/>
          <w:p>
            <w:pPr>
              <w:pStyle w:val="Compact"/>
            </w:pPr>
            <w:r>
              <w:t xml:space="preserve">0.6150</w:t>
            </w:r>
          </w:p>
        </w:tc>
        <w:tc>
          <w:tcPr/>
          <w:p>
            <w:pPr>
              <w:pStyle w:val="Compact"/>
            </w:pPr>
            <w:r>
              <w:t xml:space="preserve">0.4961</w:t>
            </w:r>
          </w:p>
        </w:tc>
        <w:tc>
          <w:tcPr/>
          <w:p>
            <w:pPr>
              <w:pStyle w:val="Compact"/>
            </w:pPr>
            <w:r>
              <w:t xml:space="preserve">0.6846</w:t>
            </w:r>
          </w:p>
        </w:tc>
      </w:tr>
      <w:tr>
        <w:tc>
          <w:tcPr/>
          <w:p>
            <w:pPr>
              <w:pStyle w:val="Compact"/>
            </w:pPr>
            <w:r>
              <w:t xml:space="preserve">17</w:t>
            </w:r>
          </w:p>
        </w:tc>
        <w:tc>
          <w:tcPr/>
          <w:p>
            <w:pPr>
              <w:pStyle w:val="Compact"/>
            </w:pPr>
            <w:r>
              <w:t xml:space="preserve">Other activities_2020</w:t>
            </w:r>
          </w:p>
        </w:tc>
        <w:tc>
          <w:tcPr/>
          <w:p>
            <w:pPr>
              <w:pStyle w:val="Compact"/>
            </w:pPr>
            <w:r>
              <w:t xml:space="preserve">Other activities</w:t>
            </w:r>
          </w:p>
        </w:tc>
        <w:tc>
          <w:tcPr/>
          <w:p>
            <w:pPr>
              <w:pStyle w:val="Compact"/>
            </w:pPr>
            <w:r>
              <w:t xml:space="preserve">2020</w:t>
            </w:r>
          </w:p>
        </w:tc>
        <w:tc>
          <w:tcPr/>
          <w:p>
            <w:pPr>
              <w:pStyle w:val="Compact"/>
            </w:pPr>
            <w:r>
              <w:t xml:space="preserve">0.6763</w:t>
            </w:r>
          </w:p>
        </w:tc>
        <w:tc>
          <w:tcPr/>
          <w:p>
            <w:pPr>
              <w:pStyle w:val="Compact"/>
            </w:pPr>
            <w:r>
              <w:t xml:space="preserve">0.0835</w:t>
            </w:r>
          </w:p>
        </w:tc>
        <w:tc>
          <w:tcPr/>
          <w:p>
            <w:pPr>
              <w:pStyle w:val="Compact"/>
            </w:pPr>
            <w:r>
              <w:t xml:space="preserve">0.5928</w:t>
            </w:r>
          </w:p>
        </w:tc>
        <w:tc>
          <w:tcPr/>
          <w:p>
            <w:pPr>
              <w:pStyle w:val="Compact"/>
            </w:pPr>
            <w:r>
              <w:t xml:space="preserve">0.5236</w:t>
            </w:r>
          </w:p>
        </w:tc>
        <w:tc>
          <w:tcPr/>
          <w:p>
            <w:pPr>
              <w:pStyle w:val="Compact"/>
            </w:pPr>
            <w:r>
              <w:t xml:space="preserve">0.6263</w:t>
            </w:r>
          </w:p>
        </w:tc>
      </w:tr>
      <w:tr>
        <w:tc>
          <w:tcPr/>
          <w:p>
            <w:pPr>
              <w:pStyle w:val="Compact"/>
            </w:pPr>
            <w:r>
              <w:t xml:space="preserve">18</w:t>
            </w:r>
          </w:p>
        </w:tc>
        <w:tc>
          <w:tcPr/>
          <w:p>
            <w:pPr>
              <w:pStyle w:val="Compact"/>
            </w:pPr>
            <w:r>
              <w:t xml:space="preserve">Mining &amp; utilities_2020</w:t>
            </w:r>
          </w:p>
        </w:tc>
        <w:tc>
          <w:tcPr/>
          <w:p>
            <w:pPr>
              <w:pStyle w:val="Compact"/>
            </w:pPr>
            <w:r>
              <w:t xml:space="preserve">Mining &amp; utilities</w:t>
            </w:r>
          </w:p>
        </w:tc>
        <w:tc>
          <w:tcPr/>
          <w:p>
            <w:pPr>
              <w:pStyle w:val="Compact"/>
            </w:pPr>
            <w:r>
              <w:t xml:space="preserve">2020</w:t>
            </w:r>
          </w:p>
        </w:tc>
        <w:tc>
          <w:tcPr/>
          <w:p>
            <w:pPr>
              <w:pStyle w:val="Compact"/>
            </w:pPr>
            <w:r>
              <w:t xml:space="preserve">0.7042</w:t>
            </w:r>
          </w:p>
        </w:tc>
        <w:tc>
          <w:tcPr/>
          <w:p>
            <w:pPr>
              <w:pStyle w:val="Compact"/>
            </w:pPr>
            <w:r>
              <w:t xml:space="preserve">0.1548</w:t>
            </w:r>
          </w:p>
        </w:tc>
        <w:tc>
          <w:tcPr/>
          <w:p>
            <w:pPr>
              <w:pStyle w:val="Compact"/>
            </w:pPr>
            <w:r>
              <w:t xml:space="preserve">0.5493</w:t>
            </w:r>
          </w:p>
        </w:tc>
        <w:tc>
          <w:tcPr/>
          <w:p>
            <w:pPr>
              <w:pStyle w:val="Compact"/>
            </w:pPr>
            <w:r>
              <w:t xml:space="preserve">0.3221</w:t>
            </w:r>
          </w:p>
        </w:tc>
        <w:tc>
          <w:tcPr/>
          <w:p>
            <w:pPr>
              <w:pStyle w:val="Compact"/>
            </w:pPr>
            <w:r>
              <w:t xml:space="preserve">0.6432</w:t>
            </w:r>
          </w:p>
        </w:tc>
      </w:tr>
      <w:tr>
        <w:tc>
          <w:tcPr/>
          <w:p>
            <w:pPr>
              <w:pStyle w:val="Compact"/>
            </w:pPr>
            <w:r>
              <w:t xml:space="preserve">19</w:t>
            </w:r>
          </w:p>
        </w:tc>
        <w:tc>
          <w:tcPr/>
          <w:p>
            <w:pPr>
              <w:pStyle w:val="Compact"/>
            </w:pPr>
            <w:r>
              <w:t xml:space="preserve">Transport &amp; communication_2018</w:t>
            </w:r>
          </w:p>
        </w:tc>
        <w:tc>
          <w:tcPr/>
          <w:p>
            <w:pPr>
              <w:pStyle w:val="Compact"/>
            </w:pPr>
            <w:r>
              <w:t xml:space="preserve">Transport &amp; communication</w:t>
            </w:r>
          </w:p>
        </w:tc>
        <w:tc>
          <w:tcPr/>
          <w:p>
            <w:pPr>
              <w:pStyle w:val="Compact"/>
            </w:pPr>
            <w:r>
              <w:t xml:space="preserve">2018</w:t>
            </w:r>
          </w:p>
        </w:tc>
        <w:tc>
          <w:tcPr/>
          <w:p>
            <w:pPr>
              <w:pStyle w:val="Compact"/>
            </w:pPr>
            <w:r>
              <w:t xml:space="preserve">0.6037</w:t>
            </w:r>
          </w:p>
        </w:tc>
        <w:tc>
          <w:tcPr/>
          <w:p>
            <w:pPr>
              <w:pStyle w:val="Compact"/>
            </w:pPr>
            <w:r>
              <w:t xml:space="preserve">0.0682</w:t>
            </w:r>
          </w:p>
        </w:tc>
        <w:tc>
          <w:tcPr/>
          <w:p>
            <w:pPr>
              <w:pStyle w:val="Compact"/>
            </w:pPr>
            <w:r>
              <w:t xml:space="preserve">0.5354</w:t>
            </w:r>
          </w:p>
        </w:tc>
        <w:tc>
          <w:tcPr/>
          <w:p>
            <w:pPr>
              <w:pStyle w:val="Compact"/>
            </w:pPr>
            <w:r>
              <w:t xml:space="preserve">0.4894</w:t>
            </w:r>
          </w:p>
        </w:tc>
        <w:tc>
          <w:tcPr/>
          <w:p>
            <w:pPr>
              <w:pStyle w:val="Compact"/>
            </w:pPr>
            <w:r>
              <w:t xml:space="preserve">0.5594</w:t>
            </w:r>
          </w:p>
        </w:tc>
      </w:tr>
      <w:tr>
        <w:tc>
          <w:tcPr/>
          <w:p>
            <w:pPr>
              <w:pStyle w:val="Compact"/>
            </w:pPr>
            <w:r>
              <w:t xml:space="preserve">20</w:t>
            </w:r>
          </w:p>
        </w:tc>
        <w:tc>
          <w:tcPr/>
          <w:p>
            <w:pPr>
              <w:pStyle w:val="Compact"/>
            </w:pPr>
            <w:r>
              <w:t xml:space="preserve">Manufacturing_2018</w:t>
            </w:r>
          </w:p>
        </w:tc>
        <w:tc>
          <w:tcPr/>
          <w:p>
            <w:pPr>
              <w:pStyle w:val="Compact"/>
            </w:pPr>
            <w:r>
              <w:t xml:space="preserve">Manufacturing</w:t>
            </w:r>
          </w:p>
        </w:tc>
        <w:tc>
          <w:tcPr/>
          <w:p>
            <w:pPr>
              <w:pStyle w:val="Compact"/>
            </w:pPr>
            <w:r>
              <w:t xml:space="preserve">2018</w:t>
            </w:r>
          </w:p>
        </w:tc>
        <w:tc>
          <w:tcPr/>
          <w:p>
            <w:pPr>
              <w:pStyle w:val="Compact"/>
            </w:pPr>
            <w:r>
              <w:t xml:space="preserve">0.5993</w:t>
            </w:r>
          </w:p>
        </w:tc>
        <w:tc>
          <w:tcPr/>
          <w:p>
            <w:pPr>
              <w:pStyle w:val="Compact"/>
            </w:pPr>
            <w:r>
              <w:t xml:space="preserve">0.0685</w:t>
            </w:r>
          </w:p>
        </w:tc>
        <w:tc>
          <w:tcPr/>
          <w:p>
            <w:pPr>
              <w:pStyle w:val="Compact"/>
            </w:pPr>
            <w:r>
              <w:t xml:space="preserve">0.5308</w:t>
            </w:r>
          </w:p>
        </w:tc>
        <w:tc>
          <w:tcPr/>
          <w:p>
            <w:pPr>
              <w:pStyle w:val="Compact"/>
            </w:pPr>
            <w:r>
              <w:t xml:space="preserve">0.4867</w:t>
            </w:r>
          </w:p>
        </w:tc>
        <w:tc>
          <w:tcPr/>
          <w:p>
            <w:pPr>
              <w:pStyle w:val="Compact"/>
            </w:pPr>
            <w:r>
              <w:t xml:space="preserve">0.5551</w:t>
            </w:r>
          </w:p>
        </w:tc>
      </w:tr>
      <w:tr>
        <w:tc>
          <w:tcPr/>
          <w:p>
            <w:pPr>
              <w:pStyle w:val="Compact"/>
            </w:pPr>
            <w:r>
              <w:t xml:space="preserve">21</w:t>
            </w:r>
          </w:p>
        </w:tc>
        <w:tc>
          <w:tcPr/>
          <w:p>
            <w:pPr>
              <w:pStyle w:val="Compact"/>
            </w:pPr>
            <w:r>
              <w:t xml:space="preserve">Other activities_2023</w:t>
            </w:r>
          </w:p>
        </w:tc>
        <w:tc>
          <w:tcPr/>
          <w:p>
            <w:pPr>
              <w:pStyle w:val="Compact"/>
            </w:pPr>
            <w:r>
              <w:t xml:space="preserve">Other activities</w:t>
            </w:r>
          </w:p>
        </w:tc>
        <w:tc>
          <w:tcPr/>
          <w:p>
            <w:pPr>
              <w:pStyle w:val="Compact"/>
            </w:pPr>
            <w:r>
              <w:t xml:space="preserve">2023</w:t>
            </w:r>
          </w:p>
        </w:tc>
        <w:tc>
          <w:tcPr/>
          <w:p>
            <w:pPr>
              <w:pStyle w:val="Compact"/>
            </w:pPr>
            <w:r>
              <w:t xml:space="preserve">0.6069</w:t>
            </w:r>
          </w:p>
        </w:tc>
        <w:tc>
          <w:tcPr/>
          <w:p>
            <w:pPr>
              <w:pStyle w:val="Compact"/>
            </w:pPr>
            <w:r>
              <w:t xml:space="preserve">0.0859</w:t>
            </w:r>
          </w:p>
        </w:tc>
        <w:tc>
          <w:tcPr/>
          <w:p>
            <w:pPr>
              <w:pStyle w:val="Compact"/>
            </w:pPr>
            <w:r>
              <w:t xml:space="preserve">0.5210</w:t>
            </w:r>
          </w:p>
        </w:tc>
        <w:tc>
          <w:tcPr/>
          <w:p>
            <w:pPr>
              <w:pStyle w:val="Compact"/>
            </w:pPr>
            <w:r>
              <w:t xml:space="preserve">0.4339</w:t>
            </w:r>
          </w:p>
        </w:tc>
        <w:tc>
          <w:tcPr/>
          <w:p>
            <w:pPr>
              <w:pStyle w:val="Compact"/>
            </w:pPr>
            <w:r>
              <w:t xml:space="preserve">0.5611</w:t>
            </w:r>
          </w:p>
        </w:tc>
      </w:tr>
      <w:tr>
        <w:tc>
          <w:tcPr/>
          <w:p>
            <w:pPr>
              <w:pStyle w:val="Compact"/>
            </w:pPr>
            <w:r>
              <w:t xml:space="preserve">22</w:t>
            </w:r>
          </w:p>
        </w:tc>
        <w:tc>
          <w:tcPr/>
          <w:p>
            <w:pPr>
              <w:pStyle w:val="Compact"/>
            </w:pPr>
            <w:r>
              <w:t xml:space="preserve">Transport &amp; communication_2019</w:t>
            </w:r>
          </w:p>
        </w:tc>
        <w:tc>
          <w:tcPr/>
          <w:p>
            <w:pPr>
              <w:pStyle w:val="Compact"/>
            </w:pPr>
            <w:r>
              <w:t xml:space="preserve">Transport &amp; communication</w:t>
            </w:r>
          </w:p>
        </w:tc>
        <w:tc>
          <w:tcPr/>
          <w:p>
            <w:pPr>
              <w:pStyle w:val="Compact"/>
            </w:pPr>
            <w:r>
              <w:t xml:space="preserve">2019</w:t>
            </w:r>
          </w:p>
        </w:tc>
        <w:tc>
          <w:tcPr/>
          <w:p>
            <w:pPr>
              <w:pStyle w:val="Compact"/>
            </w:pPr>
            <w:r>
              <w:t xml:space="preserve">0.5738</w:t>
            </w:r>
          </w:p>
        </w:tc>
        <w:tc>
          <w:tcPr/>
          <w:p>
            <w:pPr>
              <w:pStyle w:val="Compact"/>
            </w:pPr>
            <w:r>
              <w:t xml:space="preserve">0.0655</w:t>
            </w:r>
          </w:p>
        </w:tc>
        <w:tc>
          <w:tcPr/>
          <w:p>
            <w:pPr>
              <w:pStyle w:val="Compact"/>
            </w:pPr>
            <w:r>
              <w:t xml:space="preserve">0.5082</w:t>
            </w:r>
          </w:p>
        </w:tc>
        <w:tc>
          <w:tcPr/>
          <w:p>
            <w:pPr>
              <w:pStyle w:val="Compact"/>
            </w:pPr>
            <w:r>
              <w:t xml:space="preserve">0.4632</w:t>
            </w:r>
          </w:p>
        </w:tc>
        <w:tc>
          <w:tcPr/>
          <w:p>
            <w:pPr>
              <w:pStyle w:val="Compact"/>
            </w:pPr>
            <w:r>
              <w:t xml:space="preserve">0.5316</w:t>
            </w:r>
          </w:p>
        </w:tc>
      </w:tr>
      <w:tr>
        <w:tc>
          <w:tcPr/>
          <w:p>
            <w:pPr>
              <w:pStyle w:val="Compact"/>
            </w:pPr>
            <w:r>
              <w:t xml:space="preserve">23</w:t>
            </w:r>
          </w:p>
        </w:tc>
        <w:tc>
          <w:tcPr/>
          <w:p>
            <w:pPr>
              <w:pStyle w:val="Compact"/>
            </w:pPr>
            <w:r>
              <w:t xml:space="preserve">Other activities_2021</w:t>
            </w:r>
          </w:p>
        </w:tc>
        <w:tc>
          <w:tcPr/>
          <w:p>
            <w:pPr>
              <w:pStyle w:val="Compact"/>
            </w:pPr>
            <w:r>
              <w:t xml:space="preserve">Other activities</w:t>
            </w:r>
          </w:p>
        </w:tc>
        <w:tc>
          <w:tcPr/>
          <w:p>
            <w:pPr>
              <w:pStyle w:val="Compact"/>
            </w:pPr>
            <w:r>
              <w:t xml:space="preserve">2021</w:t>
            </w:r>
          </w:p>
        </w:tc>
        <w:tc>
          <w:tcPr/>
          <w:p>
            <w:pPr>
              <w:pStyle w:val="Compact"/>
            </w:pPr>
            <w:r>
              <w:t xml:space="preserve">0.5880</w:t>
            </w:r>
          </w:p>
        </w:tc>
        <w:tc>
          <w:tcPr/>
          <w:p>
            <w:pPr>
              <w:pStyle w:val="Compact"/>
            </w:pPr>
            <w:r>
              <w:t xml:space="preserve">0.0814</w:t>
            </w:r>
          </w:p>
        </w:tc>
        <w:tc>
          <w:tcPr/>
          <w:p>
            <w:pPr>
              <w:pStyle w:val="Compact"/>
            </w:pPr>
            <w:r>
              <w:t xml:space="preserve">0.5066</w:t>
            </w:r>
          </w:p>
        </w:tc>
        <w:tc>
          <w:tcPr/>
          <w:p>
            <w:pPr>
              <w:pStyle w:val="Compact"/>
            </w:pPr>
            <w:r>
              <w:t xml:space="preserve">0.4254</w:t>
            </w:r>
          </w:p>
        </w:tc>
        <w:tc>
          <w:tcPr/>
          <w:p>
            <w:pPr>
              <w:pStyle w:val="Compact"/>
            </w:pPr>
            <w:r>
              <w:t xml:space="preserve">0.5440</w:t>
            </w:r>
          </w:p>
        </w:tc>
      </w:tr>
      <w:tr>
        <w:tc>
          <w:tcPr/>
          <w:p>
            <w:pPr>
              <w:pStyle w:val="Compact"/>
            </w:pPr>
            <w:r>
              <w:t xml:space="preserve">24</w:t>
            </w:r>
          </w:p>
        </w:tc>
        <w:tc>
          <w:tcPr/>
          <w:p>
            <w:pPr>
              <w:pStyle w:val="Compact"/>
            </w:pPr>
            <w:r>
              <w:t xml:space="preserve">Other activities_2022</w:t>
            </w:r>
          </w:p>
        </w:tc>
        <w:tc>
          <w:tcPr/>
          <w:p>
            <w:pPr>
              <w:pStyle w:val="Compact"/>
            </w:pPr>
            <w:r>
              <w:t xml:space="preserve">Other activities</w:t>
            </w:r>
          </w:p>
        </w:tc>
        <w:tc>
          <w:tcPr/>
          <w:p>
            <w:pPr>
              <w:pStyle w:val="Compact"/>
            </w:pPr>
            <w:r>
              <w:t xml:space="preserve">2022</w:t>
            </w:r>
          </w:p>
        </w:tc>
        <w:tc>
          <w:tcPr/>
          <w:p>
            <w:pPr>
              <w:pStyle w:val="Compact"/>
            </w:pPr>
            <w:r>
              <w:t xml:space="preserve">0.5857</w:t>
            </w:r>
          </w:p>
        </w:tc>
        <w:tc>
          <w:tcPr/>
          <w:p>
            <w:pPr>
              <w:pStyle w:val="Compact"/>
            </w:pPr>
            <w:r>
              <w:t xml:space="preserve">0.0824</w:t>
            </w:r>
          </w:p>
        </w:tc>
        <w:tc>
          <w:tcPr/>
          <w:p>
            <w:pPr>
              <w:pStyle w:val="Compact"/>
            </w:pPr>
            <w:r>
              <w:t xml:space="preserve">0.5033</w:t>
            </w:r>
          </w:p>
        </w:tc>
        <w:tc>
          <w:tcPr/>
          <w:p>
            <w:pPr>
              <w:pStyle w:val="Compact"/>
            </w:pPr>
            <w:r>
              <w:t xml:space="preserve">0.4197</w:t>
            </w:r>
          </w:p>
        </w:tc>
        <w:tc>
          <w:tcPr/>
          <w:p>
            <w:pPr>
              <w:pStyle w:val="Compact"/>
            </w:pPr>
            <w:r>
              <w:t xml:space="preserve">0.5417</w:t>
            </w:r>
          </w:p>
        </w:tc>
      </w:tr>
      <w:tr>
        <w:tc>
          <w:tcPr/>
          <w:p>
            <w:pPr>
              <w:pStyle w:val="Compact"/>
            </w:pPr>
            <w:r>
              <w:t xml:space="preserve">25</w:t>
            </w:r>
          </w:p>
        </w:tc>
        <w:tc>
          <w:tcPr/>
          <w:p>
            <w:pPr>
              <w:pStyle w:val="Compact"/>
            </w:pPr>
            <w:r>
              <w:t xml:space="preserve">Manufacturing_2021</w:t>
            </w:r>
          </w:p>
        </w:tc>
        <w:tc>
          <w:tcPr/>
          <w:p>
            <w:pPr>
              <w:pStyle w:val="Compact"/>
            </w:pPr>
            <w:r>
              <w:t xml:space="preserve">Manufacturing</w:t>
            </w:r>
          </w:p>
        </w:tc>
        <w:tc>
          <w:tcPr/>
          <w:p>
            <w:pPr>
              <w:pStyle w:val="Compact"/>
            </w:pPr>
            <w:r>
              <w:t xml:space="preserve">2021</w:t>
            </w:r>
          </w:p>
        </w:tc>
        <w:tc>
          <w:tcPr/>
          <w:p>
            <w:pPr>
              <w:pStyle w:val="Compact"/>
            </w:pPr>
            <w:r>
              <w:t xml:space="preserve">0.5676</w:t>
            </w:r>
          </w:p>
        </w:tc>
        <w:tc>
          <w:tcPr/>
          <w:p>
            <w:pPr>
              <w:pStyle w:val="Compact"/>
            </w:pPr>
            <w:r>
              <w:t xml:space="preserve">0.0648</w:t>
            </w:r>
          </w:p>
        </w:tc>
        <w:tc>
          <w:tcPr/>
          <w:p>
            <w:pPr>
              <w:pStyle w:val="Compact"/>
            </w:pPr>
            <w:r>
              <w:t xml:space="preserve">0.5028</w:t>
            </w:r>
          </w:p>
        </w:tc>
        <w:tc>
          <w:tcPr/>
          <w:p>
            <w:pPr>
              <w:pStyle w:val="Compact"/>
            </w:pPr>
            <w:r>
              <w:t xml:space="preserve">0.4608</w:t>
            </w:r>
          </w:p>
        </w:tc>
        <w:tc>
          <w:tcPr/>
          <w:p>
            <w:pPr>
              <w:pStyle w:val="Compact"/>
            </w:pPr>
            <w:r>
              <w:t xml:space="preserve">0.5258</w:t>
            </w:r>
          </w:p>
        </w:tc>
      </w:tr>
      <w:tr>
        <w:tc>
          <w:tcPr/>
          <w:p>
            <w:pPr>
              <w:pStyle w:val="Compact"/>
            </w:pPr>
            <w:r>
              <w:t xml:space="preserve">26</w:t>
            </w:r>
          </w:p>
        </w:tc>
        <w:tc>
          <w:tcPr/>
          <w:p>
            <w:pPr>
              <w:pStyle w:val="Compact"/>
            </w:pPr>
            <w:r>
              <w:t xml:space="preserve">Manufacturing_2023</w:t>
            </w:r>
          </w:p>
        </w:tc>
        <w:tc>
          <w:tcPr/>
          <w:p>
            <w:pPr>
              <w:pStyle w:val="Compact"/>
            </w:pPr>
            <w:r>
              <w:t xml:space="preserve">Manufacturing</w:t>
            </w:r>
          </w:p>
        </w:tc>
        <w:tc>
          <w:tcPr/>
          <w:p>
            <w:pPr>
              <w:pStyle w:val="Compact"/>
            </w:pPr>
            <w:r>
              <w:t xml:space="preserve">2023</w:t>
            </w:r>
          </w:p>
        </w:tc>
        <w:tc>
          <w:tcPr/>
          <w:p>
            <w:pPr>
              <w:pStyle w:val="Compact"/>
            </w:pPr>
            <w:r>
              <w:t xml:space="preserve">0.5605</w:t>
            </w:r>
          </w:p>
        </w:tc>
        <w:tc>
          <w:tcPr/>
          <w:p>
            <w:pPr>
              <w:pStyle w:val="Compact"/>
            </w:pPr>
            <w:r>
              <w:t xml:space="preserve">0.0633</w:t>
            </w:r>
          </w:p>
        </w:tc>
        <w:tc>
          <w:tcPr/>
          <w:p>
            <w:pPr>
              <w:pStyle w:val="Compact"/>
            </w:pPr>
            <w:r>
              <w:t xml:space="preserve">0.4972</w:t>
            </w:r>
          </w:p>
        </w:tc>
        <w:tc>
          <w:tcPr/>
          <w:p>
            <w:pPr>
              <w:pStyle w:val="Compact"/>
            </w:pPr>
            <w:r>
              <w:t xml:space="preserve">0.4544</w:t>
            </w:r>
          </w:p>
        </w:tc>
        <w:tc>
          <w:tcPr/>
          <w:p>
            <w:pPr>
              <w:pStyle w:val="Compact"/>
            </w:pPr>
            <w:r>
              <w:t xml:space="preserve">0.5194</w:t>
            </w:r>
          </w:p>
        </w:tc>
      </w:tr>
      <w:tr>
        <w:tc>
          <w:tcPr/>
          <w:p>
            <w:pPr>
              <w:pStyle w:val="Compact"/>
            </w:pPr>
            <w:r>
              <w:t xml:space="preserve">27</w:t>
            </w:r>
          </w:p>
        </w:tc>
        <w:tc>
          <w:tcPr/>
          <w:p>
            <w:pPr>
              <w:pStyle w:val="Compact"/>
            </w:pPr>
            <w:r>
              <w:t xml:space="preserve">Manufacturing_2022</w:t>
            </w:r>
          </w:p>
        </w:tc>
        <w:tc>
          <w:tcPr/>
          <w:p>
            <w:pPr>
              <w:pStyle w:val="Compact"/>
            </w:pPr>
            <w:r>
              <w:t xml:space="preserve">Manufacturing</w:t>
            </w:r>
          </w:p>
        </w:tc>
        <w:tc>
          <w:tcPr/>
          <w:p>
            <w:pPr>
              <w:pStyle w:val="Compact"/>
            </w:pPr>
            <w:r>
              <w:t xml:space="preserve">2022</w:t>
            </w:r>
          </w:p>
        </w:tc>
        <w:tc>
          <w:tcPr/>
          <w:p>
            <w:pPr>
              <w:pStyle w:val="Compact"/>
            </w:pPr>
            <w:r>
              <w:t xml:space="preserve">0.5525</w:t>
            </w:r>
          </w:p>
        </w:tc>
        <w:tc>
          <w:tcPr/>
          <w:p>
            <w:pPr>
              <w:pStyle w:val="Compact"/>
            </w:pPr>
            <w:r>
              <w:t xml:space="preserve">0.0624</w:t>
            </w:r>
          </w:p>
        </w:tc>
        <w:tc>
          <w:tcPr/>
          <w:p>
            <w:pPr>
              <w:pStyle w:val="Compact"/>
            </w:pPr>
            <w:r>
              <w:t xml:space="preserve">0.4901</w:t>
            </w:r>
          </w:p>
        </w:tc>
        <w:tc>
          <w:tcPr/>
          <w:p>
            <w:pPr>
              <w:pStyle w:val="Compact"/>
            </w:pPr>
            <w:r>
              <w:t xml:space="preserve">0.4480</w:t>
            </w:r>
          </w:p>
        </w:tc>
        <w:tc>
          <w:tcPr/>
          <w:p>
            <w:pPr>
              <w:pStyle w:val="Compact"/>
            </w:pPr>
            <w:r>
              <w:t xml:space="preserve">0.5120</w:t>
            </w:r>
          </w:p>
        </w:tc>
      </w:tr>
      <w:tr>
        <w:tc>
          <w:tcPr/>
          <w:p>
            <w:pPr>
              <w:pStyle w:val="Compact"/>
            </w:pPr>
            <w:r>
              <w:t xml:space="preserve">28</w:t>
            </w:r>
          </w:p>
        </w:tc>
        <w:tc>
          <w:tcPr/>
          <w:p>
            <w:pPr>
              <w:pStyle w:val="Compact"/>
            </w:pPr>
            <w:r>
              <w:t xml:space="preserve">Other activities_2019</w:t>
            </w:r>
          </w:p>
        </w:tc>
        <w:tc>
          <w:tcPr/>
          <w:p>
            <w:pPr>
              <w:pStyle w:val="Compact"/>
            </w:pPr>
            <w:r>
              <w:t xml:space="preserve">Other activities</w:t>
            </w:r>
          </w:p>
        </w:tc>
        <w:tc>
          <w:tcPr/>
          <w:p>
            <w:pPr>
              <w:pStyle w:val="Compact"/>
            </w:pPr>
            <w:r>
              <w:t xml:space="preserve">2019</w:t>
            </w:r>
          </w:p>
        </w:tc>
        <w:tc>
          <w:tcPr/>
          <w:p>
            <w:pPr>
              <w:pStyle w:val="Compact"/>
            </w:pPr>
            <w:r>
              <w:t xml:space="preserve">0.5681</w:t>
            </w:r>
          </w:p>
        </w:tc>
        <w:tc>
          <w:tcPr/>
          <w:p>
            <w:pPr>
              <w:pStyle w:val="Compact"/>
            </w:pPr>
            <w:r>
              <w:t xml:space="preserve">0.0798</w:t>
            </w:r>
          </w:p>
        </w:tc>
        <w:tc>
          <w:tcPr/>
          <w:p>
            <w:pPr>
              <w:pStyle w:val="Compact"/>
            </w:pPr>
            <w:r>
              <w:t xml:space="preserve">0.4883</w:t>
            </w:r>
          </w:p>
        </w:tc>
        <w:tc>
          <w:tcPr/>
          <w:p>
            <w:pPr>
              <w:pStyle w:val="Compact"/>
            </w:pPr>
            <w:r>
              <w:t xml:space="preserve">0.4076</w:t>
            </w:r>
          </w:p>
        </w:tc>
        <w:tc>
          <w:tcPr/>
          <w:p>
            <w:pPr>
              <w:pStyle w:val="Compact"/>
            </w:pPr>
            <w:r>
              <w:t xml:space="preserve">0.5254</w:t>
            </w:r>
          </w:p>
        </w:tc>
      </w:tr>
      <w:tr>
        <w:tc>
          <w:tcPr/>
          <w:p>
            <w:pPr>
              <w:pStyle w:val="Compact"/>
            </w:pPr>
            <w:r>
              <w:t xml:space="preserve">29</w:t>
            </w:r>
          </w:p>
        </w:tc>
        <w:tc>
          <w:tcPr/>
          <w:p>
            <w:pPr>
              <w:pStyle w:val="Compact"/>
            </w:pPr>
            <w:r>
              <w:t xml:space="preserve">Manufacturing_2020</w:t>
            </w:r>
          </w:p>
        </w:tc>
        <w:tc>
          <w:tcPr/>
          <w:p>
            <w:pPr>
              <w:pStyle w:val="Compact"/>
            </w:pPr>
            <w:r>
              <w:t xml:space="preserve">Manufacturing</w:t>
            </w:r>
          </w:p>
        </w:tc>
        <w:tc>
          <w:tcPr/>
          <w:p>
            <w:pPr>
              <w:pStyle w:val="Compact"/>
            </w:pPr>
            <w:r>
              <w:t xml:space="preserve">2020</w:t>
            </w:r>
          </w:p>
        </w:tc>
        <w:tc>
          <w:tcPr/>
          <w:p>
            <w:pPr>
              <w:pStyle w:val="Compact"/>
            </w:pPr>
            <w:r>
              <w:t xml:space="preserve">0.5493</w:t>
            </w:r>
          </w:p>
        </w:tc>
        <w:tc>
          <w:tcPr/>
          <w:p>
            <w:pPr>
              <w:pStyle w:val="Compact"/>
            </w:pPr>
            <w:r>
              <w:t xml:space="preserve">0.0638</w:t>
            </w:r>
          </w:p>
        </w:tc>
        <w:tc>
          <w:tcPr/>
          <w:p>
            <w:pPr>
              <w:pStyle w:val="Compact"/>
            </w:pPr>
            <w:r>
              <w:t xml:space="preserve">0.4855</w:t>
            </w:r>
          </w:p>
        </w:tc>
        <w:tc>
          <w:tcPr/>
          <w:p>
            <w:pPr>
              <w:pStyle w:val="Compact"/>
            </w:pPr>
            <w:r>
              <w:t xml:space="preserve">0.4448</w:t>
            </w:r>
          </w:p>
        </w:tc>
        <w:tc>
          <w:tcPr/>
          <w:p>
            <w:pPr>
              <w:pStyle w:val="Compact"/>
            </w:pPr>
            <w:r>
              <w:t xml:space="preserve">0.5084</w:t>
            </w:r>
          </w:p>
        </w:tc>
      </w:tr>
      <w:tr>
        <w:tc>
          <w:tcPr/>
          <w:p>
            <w:pPr>
              <w:pStyle w:val="Compact"/>
            </w:pPr>
            <w:r>
              <w:t xml:space="preserve">30</w:t>
            </w:r>
          </w:p>
        </w:tc>
        <w:tc>
          <w:tcPr/>
          <w:p>
            <w:pPr>
              <w:pStyle w:val="Compact"/>
            </w:pPr>
            <w:r>
              <w:t xml:space="preserve">Transport &amp; communication_2020</w:t>
            </w:r>
          </w:p>
        </w:tc>
        <w:tc>
          <w:tcPr/>
          <w:p>
            <w:pPr>
              <w:pStyle w:val="Compact"/>
            </w:pPr>
            <w:r>
              <w:t xml:space="preserve">Transport &amp; communication</w:t>
            </w:r>
          </w:p>
        </w:tc>
        <w:tc>
          <w:tcPr/>
          <w:p>
            <w:pPr>
              <w:pStyle w:val="Compact"/>
            </w:pPr>
            <w:r>
              <w:t xml:space="preserve">2020</w:t>
            </w:r>
          </w:p>
        </w:tc>
        <w:tc>
          <w:tcPr/>
          <w:p>
            <w:pPr>
              <w:pStyle w:val="Compact"/>
            </w:pPr>
            <w:r>
              <w:t xml:space="preserve">0.5399</w:t>
            </w:r>
          </w:p>
        </w:tc>
        <w:tc>
          <w:tcPr/>
          <w:p>
            <w:pPr>
              <w:pStyle w:val="Compact"/>
            </w:pPr>
            <w:r>
              <w:t xml:space="preserve">0.0616</w:t>
            </w:r>
          </w:p>
        </w:tc>
        <w:tc>
          <w:tcPr/>
          <w:p>
            <w:pPr>
              <w:pStyle w:val="Compact"/>
            </w:pPr>
            <w:r>
              <w:t xml:space="preserve">0.4784</w:t>
            </w:r>
          </w:p>
        </w:tc>
        <w:tc>
          <w:tcPr/>
          <w:p>
            <w:pPr>
              <w:pStyle w:val="Compact"/>
            </w:pPr>
            <w:r>
              <w:t xml:space="preserve">0.4363</w:t>
            </w:r>
          </w:p>
        </w:tc>
        <w:tc>
          <w:tcPr/>
          <w:p>
            <w:pPr>
              <w:pStyle w:val="Compact"/>
            </w:pPr>
            <w:r>
              <w:t xml:space="preserve">0.5003</w:t>
            </w:r>
          </w:p>
        </w:tc>
      </w:tr>
      <w:tr>
        <w:tc>
          <w:tcPr/>
          <w:p>
            <w:pPr>
              <w:pStyle w:val="Compact"/>
            </w:pPr>
            <w:r>
              <w:t xml:space="preserve">31</w:t>
            </w:r>
          </w:p>
        </w:tc>
        <w:tc>
          <w:tcPr/>
          <w:p>
            <w:pPr>
              <w:pStyle w:val="Compact"/>
            </w:pPr>
            <w:r>
              <w:t xml:space="preserve">Manufacturing_2019</w:t>
            </w:r>
          </w:p>
        </w:tc>
        <w:tc>
          <w:tcPr/>
          <w:p>
            <w:pPr>
              <w:pStyle w:val="Compact"/>
            </w:pPr>
            <w:r>
              <w:t xml:space="preserve">Manufacturing</w:t>
            </w:r>
          </w:p>
        </w:tc>
        <w:tc>
          <w:tcPr/>
          <w:p>
            <w:pPr>
              <w:pStyle w:val="Compact"/>
            </w:pPr>
            <w:r>
              <w:t xml:space="preserve">2019</w:t>
            </w:r>
          </w:p>
        </w:tc>
        <w:tc>
          <w:tcPr/>
          <w:p>
            <w:pPr>
              <w:pStyle w:val="Compact"/>
            </w:pPr>
            <w:r>
              <w:t xml:space="preserve">0.5195</w:t>
            </w:r>
          </w:p>
        </w:tc>
        <w:tc>
          <w:tcPr/>
          <w:p>
            <w:pPr>
              <w:pStyle w:val="Compact"/>
            </w:pPr>
            <w:r>
              <w:t xml:space="preserve">0.0589</w:t>
            </w:r>
          </w:p>
        </w:tc>
        <w:tc>
          <w:tcPr/>
          <w:p>
            <w:pPr>
              <w:pStyle w:val="Compact"/>
            </w:pPr>
            <w:r>
              <w:t xml:space="preserve">0.4606</w:t>
            </w:r>
          </w:p>
        </w:tc>
        <w:tc>
          <w:tcPr/>
          <w:p>
            <w:pPr>
              <w:pStyle w:val="Compact"/>
            </w:pPr>
            <w:r>
              <w:t xml:space="preserve">0.4214</w:t>
            </w:r>
          </w:p>
        </w:tc>
        <w:tc>
          <w:tcPr/>
          <w:p>
            <w:pPr>
              <w:pStyle w:val="Compact"/>
            </w:pPr>
            <w:r>
              <w:t xml:space="preserve">0.4814</w:t>
            </w:r>
          </w:p>
        </w:tc>
      </w:tr>
      <w:tr>
        <w:tc>
          <w:tcPr/>
          <w:p>
            <w:pPr>
              <w:pStyle w:val="Compact"/>
            </w:pPr>
            <w:r>
              <w:t xml:space="preserve">32</w:t>
            </w:r>
          </w:p>
        </w:tc>
        <w:tc>
          <w:tcPr/>
          <w:p>
            <w:pPr>
              <w:pStyle w:val="Compact"/>
            </w:pPr>
            <w:r>
              <w:t xml:space="preserve">Other activities_2018</w:t>
            </w:r>
          </w:p>
        </w:tc>
        <w:tc>
          <w:tcPr/>
          <w:p>
            <w:pPr>
              <w:pStyle w:val="Compact"/>
            </w:pPr>
            <w:r>
              <w:t xml:space="preserve">Other activities</w:t>
            </w:r>
          </w:p>
        </w:tc>
        <w:tc>
          <w:tcPr/>
          <w:p>
            <w:pPr>
              <w:pStyle w:val="Compact"/>
            </w:pPr>
            <w:r>
              <w:t xml:space="preserve">2018</w:t>
            </w:r>
          </w:p>
        </w:tc>
        <w:tc>
          <w:tcPr/>
          <w:p>
            <w:pPr>
              <w:pStyle w:val="Compact"/>
            </w:pPr>
            <w:r>
              <w:t xml:space="preserve">0.5208</w:t>
            </w:r>
          </w:p>
        </w:tc>
        <w:tc>
          <w:tcPr/>
          <w:p>
            <w:pPr>
              <w:pStyle w:val="Compact"/>
            </w:pPr>
            <w:r>
              <w:t xml:space="preserve">0.0776</w:t>
            </w:r>
          </w:p>
        </w:tc>
        <w:tc>
          <w:tcPr/>
          <w:p>
            <w:pPr>
              <w:pStyle w:val="Compact"/>
            </w:pPr>
            <w:r>
              <w:t xml:space="preserve">0.4432</w:t>
            </w:r>
          </w:p>
        </w:tc>
        <w:tc>
          <w:tcPr/>
          <w:p>
            <w:pPr>
              <w:pStyle w:val="Compact"/>
            </w:pPr>
            <w:r>
              <w:t xml:space="preserve">0.3668</w:t>
            </w:r>
          </w:p>
        </w:tc>
        <w:tc>
          <w:tcPr/>
          <w:p>
            <w:pPr>
              <w:pStyle w:val="Compact"/>
            </w:pPr>
            <w:r>
              <w:t xml:space="preserve">0.4800</w:t>
            </w:r>
          </w:p>
        </w:tc>
      </w:tr>
      <w:tr>
        <w:tc>
          <w:tcPr/>
          <w:p>
            <w:pPr>
              <w:pStyle w:val="Compact"/>
            </w:pPr>
            <w:r>
              <w:t xml:space="preserve">33</w:t>
            </w:r>
          </w:p>
        </w:tc>
        <w:tc>
          <w:tcPr/>
          <w:p>
            <w:pPr>
              <w:pStyle w:val="Compact"/>
            </w:pPr>
            <w:r>
              <w:t xml:space="preserve">Transport &amp; communication_2021</w:t>
            </w:r>
          </w:p>
        </w:tc>
        <w:tc>
          <w:tcPr/>
          <w:p>
            <w:pPr>
              <w:pStyle w:val="Compact"/>
            </w:pPr>
            <w:r>
              <w:t xml:space="preserve">Transport &amp; communication</w:t>
            </w:r>
          </w:p>
        </w:tc>
        <w:tc>
          <w:tcPr/>
          <w:p>
            <w:pPr>
              <w:pStyle w:val="Compact"/>
            </w:pPr>
            <w:r>
              <w:t xml:space="preserve">2021</w:t>
            </w:r>
          </w:p>
        </w:tc>
        <w:tc>
          <w:tcPr/>
          <w:p>
            <w:pPr>
              <w:pStyle w:val="Compact"/>
            </w:pPr>
            <w:r>
              <w:t xml:space="preserve">0.4931</w:t>
            </w:r>
          </w:p>
        </w:tc>
        <w:tc>
          <w:tcPr/>
          <w:p>
            <w:pPr>
              <w:pStyle w:val="Compact"/>
            </w:pPr>
            <w:r>
              <w:t xml:space="preserve">0.0579</w:t>
            </w:r>
          </w:p>
        </w:tc>
        <w:tc>
          <w:tcPr/>
          <w:p>
            <w:pPr>
              <w:pStyle w:val="Compact"/>
            </w:pPr>
            <w:r>
              <w:t xml:space="preserve">0.4352</w:t>
            </w:r>
          </w:p>
        </w:tc>
        <w:tc>
          <w:tcPr/>
          <w:p>
            <w:pPr>
              <w:pStyle w:val="Compact"/>
            </w:pPr>
            <w:r>
              <w:t xml:space="preserve">0.3935</w:t>
            </w:r>
          </w:p>
        </w:tc>
        <w:tc>
          <w:tcPr/>
          <w:p>
            <w:pPr>
              <w:pStyle w:val="Compact"/>
            </w:pPr>
            <w:r>
              <w:t xml:space="preserve">0.4564</w:t>
            </w:r>
          </w:p>
        </w:tc>
      </w:tr>
      <w:tr>
        <w:tc>
          <w:tcPr/>
          <w:p>
            <w:pPr>
              <w:pStyle w:val="Compact"/>
            </w:pPr>
            <w:r>
              <w:t xml:space="preserve">34</w:t>
            </w:r>
          </w:p>
        </w:tc>
        <w:tc>
          <w:tcPr/>
          <w:p>
            <w:pPr>
              <w:pStyle w:val="Compact"/>
            </w:pPr>
            <w:r>
              <w:t xml:space="preserve">Transport &amp; communication_2023</w:t>
            </w:r>
          </w:p>
        </w:tc>
        <w:tc>
          <w:tcPr/>
          <w:p>
            <w:pPr>
              <w:pStyle w:val="Compact"/>
            </w:pPr>
            <w:r>
              <w:t xml:space="preserve">Transport &amp; communication</w:t>
            </w:r>
          </w:p>
        </w:tc>
        <w:tc>
          <w:tcPr/>
          <w:p>
            <w:pPr>
              <w:pStyle w:val="Compact"/>
            </w:pPr>
            <w:r>
              <w:t xml:space="preserve">2023</w:t>
            </w:r>
          </w:p>
        </w:tc>
        <w:tc>
          <w:tcPr/>
          <w:p>
            <w:pPr>
              <w:pStyle w:val="Compact"/>
            </w:pPr>
            <w:r>
              <w:t xml:space="preserve">0.4392</w:t>
            </w:r>
          </w:p>
        </w:tc>
        <w:tc>
          <w:tcPr/>
          <w:p>
            <w:pPr>
              <w:pStyle w:val="Compact"/>
            </w:pPr>
            <w:r>
              <w:t xml:space="preserve">0.0552</w:t>
            </w:r>
          </w:p>
        </w:tc>
        <w:tc>
          <w:tcPr/>
          <w:p>
            <w:pPr>
              <w:pStyle w:val="Compact"/>
            </w:pPr>
            <w:r>
              <w:t xml:space="preserve">0.3840</w:t>
            </w:r>
          </w:p>
        </w:tc>
        <w:tc>
          <w:tcPr/>
          <w:p>
            <w:pPr>
              <w:pStyle w:val="Compact"/>
            </w:pPr>
            <w:r>
              <w:t xml:space="preserve">0.3366</w:t>
            </w:r>
          </w:p>
        </w:tc>
        <w:tc>
          <w:tcPr/>
          <w:p>
            <w:pPr>
              <w:pStyle w:val="Compact"/>
            </w:pPr>
            <w:r>
              <w:t xml:space="preserve">0.4066</w:t>
            </w:r>
          </w:p>
        </w:tc>
      </w:tr>
      <w:tr>
        <w:tc>
          <w:tcPr/>
          <w:p>
            <w:pPr>
              <w:pStyle w:val="Compact"/>
            </w:pPr>
            <w:r>
              <w:t xml:space="preserve">35</w:t>
            </w:r>
          </w:p>
        </w:tc>
        <w:tc>
          <w:tcPr/>
          <w:p>
            <w:pPr>
              <w:pStyle w:val="Compact"/>
            </w:pPr>
            <w:r>
              <w:t xml:space="preserve">Transport &amp; communication_2022</w:t>
            </w:r>
          </w:p>
        </w:tc>
        <w:tc>
          <w:tcPr/>
          <w:p>
            <w:pPr>
              <w:pStyle w:val="Compact"/>
            </w:pPr>
            <w:r>
              <w:t xml:space="preserve">Transport &amp; communication</w:t>
            </w:r>
          </w:p>
        </w:tc>
        <w:tc>
          <w:tcPr/>
          <w:p>
            <w:pPr>
              <w:pStyle w:val="Compact"/>
            </w:pPr>
            <w:r>
              <w:t xml:space="preserve">2022</w:t>
            </w:r>
          </w:p>
        </w:tc>
        <w:tc>
          <w:tcPr/>
          <w:p>
            <w:pPr>
              <w:pStyle w:val="Compact"/>
            </w:pPr>
            <w:r>
              <w:t xml:space="preserve">0.3944</w:t>
            </w:r>
          </w:p>
        </w:tc>
        <w:tc>
          <w:tcPr/>
          <w:p>
            <w:pPr>
              <w:pStyle w:val="Compact"/>
            </w:pPr>
            <w:r>
              <w:t xml:space="preserve">0.0519</w:t>
            </w:r>
          </w:p>
        </w:tc>
        <w:tc>
          <w:tcPr/>
          <w:p>
            <w:pPr>
              <w:pStyle w:val="Compact"/>
            </w:pPr>
            <w:r>
              <w:t xml:space="preserve">0.3425</w:t>
            </w:r>
          </w:p>
        </w:tc>
        <w:tc>
          <w:tcPr/>
          <w:p>
            <w:pPr>
              <w:pStyle w:val="Compact"/>
            </w:pPr>
            <w:r>
              <w:t xml:space="preserve">0.2948</w:t>
            </w:r>
          </w:p>
        </w:tc>
        <w:tc>
          <w:tcPr/>
          <w:p>
            <w:pPr>
              <w:pStyle w:val="Compact"/>
            </w:pPr>
            <w:r>
              <w:t xml:space="preserve">0.3652</w:t>
            </w:r>
          </w:p>
        </w:tc>
      </w:tr>
      <w:tr>
        <w:tc>
          <w:tcPr/>
          <w:p>
            <w:pPr>
              <w:pStyle w:val="Compact"/>
            </w:pPr>
            <w:r>
              <w:t xml:space="preserve">36</w:t>
            </w:r>
          </w:p>
        </w:tc>
        <w:tc>
          <w:tcPr/>
          <w:p>
            <w:pPr>
              <w:pStyle w:val="Compact"/>
            </w:pPr>
            <w:r>
              <w:t xml:space="preserve">Agriculture, forestry &amp; fishing_2023</w:t>
            </w:r>
          </w:p>
        </w:tc>
        <w:tc>
          <w:tcPr/>
          <w:p>
            <w:pPr>
              <w:pStyle w:val="Compact"/>
            </w:pPr>
            <w:r>
              <w:t xml:space="preserve">Agriculture, forestry &amp; fishing</w:t>
            </w:r>
          </w:p>
        </w:tc>
        <w:tc>
          <w:tcPr/>
          <w:p>
            <w:pPr>
              <w:pStyle w:val="Compact"/>
            </w:pPr>
            <w:r>
              <w:t xml:space="preserve">2023</w:t>
            </w:r>
          </w:p>
        </w:tc>
        <w:tc>
          <w:tcPr/>
          <w:p>
            <w:pPr>
              <w:pStyle w:val="Compact"/>
            </w:pPr>
            <w:r>
              <w:t xml:space="preserve">0.2746</w:t>
            </w:r>
          </w:p>
        </w:tc>
        <w:tc>
          <w:tcPr/>
          <w:p>
            <w:pPr>
              <w:pStyle w:val="Compact"/>
            </w:pPr>
            <w:r>
              <w:t xml:space="preserve">0.0374</w:t>
            </w:r>
          </w:p>
        </w:tc>
        <w:tc>
          <w:tcPr/>
          <w:p>
            <w:pPr>
              <w:pStyle w:val="Compact"/>
            </w:pPr>
            <w:r>
              <w:t xml:space="preserve">0.2372</w:t>
            </w:r>
          </w:p>
        </w:tc>
        <w:tc>
          <w:tcPr/>
          <w:p>
            <w:pPr>
              <w:pStyle w:val="Compact"/>
            </w:pPr>
            <w:r>
              <w:t xml:space="preserve">0.2093</w:t>
            </w:r>
          </w:p>
        </w:tc>
        <w:tc>
          <w:tcPr/>
          <w:p>
            <w:pPr>
              <w:pStyle w:val="Compact"/>
            </w:pPr>
            <w:r>
              <w:t xml:space="preserve">0.2532</w:t>
            </w:r>
          </w:p>
        </w:tc>
      </w:tr>
      <w:tr>
        <w:tc>
          <w:tcPr/>
          <w:p>
            <w:pPr>
              <w:pStyle w:val="Compact"/>
            </w:pPr>
            <w:r>
              <w:t xml:space="preserve">37</w:t>
            </w:r>
          </w:p>
        </w:tc>
        <w:tc>
          <w:tcPr/>
          <w:p>
            <w:pPr>
              <w:pStyle w:val="Compact"/>
            </w:pPr>
            <w:r>
              <w:t xml:space="preserve">Agriculture, forestry &amp; fishing_2018</w:t>
            </w:r>
          </w:p>
        </w:tc>
        <w:tc>
          <w:tcPr/>
          <w:p>
            <w:pPr>
              <w:pStyle w:val="Compact"/>
            </w:pPr>
            <w:r>
              <w:t xml:space="preserve">Agriculture, forestry &amp; fishing</w:t>
            </w:r>
          </w:p>
        </w:tc>
        <w:tc>
          <w:tcPr/>
          <w:p>
            <w:pPr>
              <w:pStyle w:val="Compact"/>
            </w:pPr>
            <w:r>
              <w:t xml:space="preserve">2018</w:t>
            </w:r>
          </w:p>
        </w:tc>
        <w:tc>
          <w:tcPr/>
          <w:p>
            <w:pPr>
              <w:pStyle w:val="Compact"/>
            </w:pPr>
            <w:r>
              <w:t xml:space="preserve">0.2589</w:t>
            </w:r>
          </w:p>
        </w:tc>
        <w:tc>
          <w:tcPr/>
          <w:p>
            <w:pPr>
              <w:pStyle w:val="Compact"/>
            </w:pPr>
            <w:r>
              <w:t xml:space="preserve">0.0361</w:t>
            </w:r>
          </w:p>
        </w:tc>
        <w:tc>
          <w:tcPr/>
          <w:p>
            <w:pPr>
              <w:pStyle w:val="Compact"/>
            </w:pPr>
            <w:r>
              <w:t xml:space="preserve">0.2228</w:t>
            </w:r>
          </w:p>
        </w:tc>
        <w:tc>
          <w:tcPr/>
          <w:p>
            <w:pPr>
              <w:pStyle w:val="Compact"/>
            </w:pPr>
            <w:r>
              <w:t xml:space="preserve">0.1955</w:t>
            </w:r>
          </w:p>
        </w:tc>
        <w:tc>
          <w:tcPr/>
          <w:p>
            <w:pPr>
              <w:pStyle w:val="Compact"/>
            </w:pPr>
            <w:r>
              <w:t xml:space="preserve">0.2380</w:t>
            </w:r>
          </w:p>
        </w:tc>
      </w:tr>
      <w:tr>
        <w:tc>
          <w:tcPr/>
          <w:p>
            <w:pPr>
              <w:pStyle w:val="Compact"/>
            </w:pPr>
            <w:r>
              <w:t xml:space="preserve">38</w:t>
            </w:r>
          </w:p>
        </w:tc>
        <w:tc>
          <w:tcPr/>
          <w:p>
            <w:pPr>
              <w:pStyle w:val="Compact"/>
            </w:pPr>
            <w:r>
              <w:t xml:space="preserve">Agriculture, forestry &amp; fishing_2021</w:t>
            </w:r>
          </w:p>
        </w:tc>
        <w:tc>
          <w:tcPr/>
          <w:p>
            <w:pPr>
              <w:pStyle w:val="Compact"/>
            </w:pPr>
            <w:r>
              <w:t xml:space="preserve">Agriculture, forestry &amp; fishing</w:t>
            </w:r>
          </w:p>
        </w:tc>
        <w:tc>
          <w:tcPr/>
          <w:p>
            <w:pPr>
              <w:pStyle w:val="Compact"/>
            </w:pPr>
            <w:r>
              <w:t xml:space="preserve">2021</w:t>
            </w:r>
          </w:p>
        </w:tc>
        <w:tc>
          <w:tcPr/>
          <w:p>
            <w:pPr>
              <w:pStyle w:val="Compact"/>
            </w:pPr>
            <w:r>
              <w:t xml:space="preserve">0.2544</w:t>
            </w:r>
          </w:p>
        </w:tc>
        <w:tc>
          <w:tcPr/>
          <w:p>
            <w:pPr>
              <w:pStyle w:val="Compact"/>
            </w:pPr>
            <w:r>
              <w:t xml:space="preserve">0.0355</w:t>
            </w:r>
          </w:p>
        </w:tc>
        <w:tc>
          <w:tcPr/>
          <w:p>
            <w:pPr>
              <w:pStyle w:val="Compact"/>
            </w:pPr>
            <w:r>
              <w:t xml:space="preserve">0.2189</w:t>
            </w:r>
          </w:p>
        </w:tc>
        <w:tc>
          <w:tcPr/>
          <w:p>
            <w:pPr>
              <w:pStyle w:val="Compact"/>
            </w:pPr>
            <w:r>
              <w:t xml:space="preserve">0.1915</w:t>
            </w:r>
          </w:p>
        </w:tc>
        <w:tc>
          <w:tcPr/>
          <w:p>
            <w:pPr>
              <w:pStyle w:val="Compact"/>
            </w:pPr>
            <w:r>
              <w:t xml:space="preserve">0.2339</w:t>
            </w:r>
          </w:p>
        </w:tc>
      </w:tr>
      <w:tr>
        <w:tc>
          <w:tcPr/>
          <w:p>
            <w:pPr>
              <w:pStyle w:val="Compact"/>
            </w:pPr>
            <w:r>
              <w:t xml:space="preserve">39</w:t>
            </w:r>
          </w:p>
        </w:tc>
        <w:tc>
          <w:tcPr/>
          <w:p>
            <w:pPr>
              <w:pStyle w:val="Compact"/>
            </w:pPr>
            <w:r>
              <w:t xml:space="preserve">Agriculture, forestry &amp; fishing_2019</w:t>
            </w:r>
          </w:p>
        </w:tc>
        <w:tc>
          <w:tcPr/>
          <w:p>
            <w:pPr>
              <w:pStyle w:val="Compact"/>
            </w:pPr>
            <w:r>
              <w:t xml:space="preserve">Agriculture, forestry &amp; fishing</w:t>
            </w:r>
          </w:p>
        </w:tc>
        <w:tc>
          <w:tcPr/>
          <w:p>
            <w:pPr>
              <w:pStyle w:val="Compact"/>
            </w:pPr>
            <w:r>
              <w:t xml:space="preserve">2019</w:t>
            </w:r>
          </w:p>
        </w:tc>
        <w:tc>
          <w:tcPr/>
          <w:p>
            <w:pPr>
              <w:pStyle w:val="Compact"/>
            </w:pPr>
            <w:r>
              <w:t xml:space="preserve">0.2494</w:t>
            </w:r>
          </w:p>
        </w:tc>
        <w:tc>
          <w:tcPr/>
          <w:p>
            <w:pPr>
              <w:pStyle w:val="Compact"/>
            </w:pPr>
            <w:r>
              <w:t xml:space="preserve">0.0355</w:t>
            </w:r>
          </w:p>
        </w:tc>
        <w:tc>
          <w:tcPr/>
          <w:p>
            <w:pPr>
              <w:pStyle w:val="Compact"/>
            </w:pPr>
            <w:r>
              <w:t xml:space="preserve">0.2139</w:t>
            </w:r>
          </w:p>
        </w:tc>
        <w:tc>
          <w:tcPr/>
          <w:p>
            <w:pPr>
              <w:pStyle w:val="Compact"/>
            </w:pPr>
            <w:r>
              <w:t xml:space="preserve">0.1873</w:t>
            </w:r>
          </w:p>
        </w:tc>
        <w:tc>
          <w:tcPr/>
          <w:p>
            <w:pPr>
              <w:pStyle w:val="Compact"/>
            </w:pPr>
            <w:r>
              <w:t xml:space="preserve">0.2289</w:t>
            </w:r>
          </w:p>
        </w:tc>
      </w:tr>
      <w:tr>
        <w:tc>
          <w:tcPr/>
          <w:p>
            <w:pPr>
              <w:pStyle w:val="Compact"/>
            </w:pPr>
            <w:r>
              <w:t xml:space="preserve">40</w:t>
            </w:r>
          </w:p>
        </w:tc>
        <w:tc>
          <w:tcPr/>
          <w:p>
            <w:pPr>
              <w:pStyle w:val="Compact"/>
            </w:pPr>
            <w:r>
              <w:t xml:space="preserve">Agriculture, forestry &amp; fishing_2022</w:t>
            </w:r>
          </w:p>
        </w:tc>
        <w:tc>
          <w:tcPr/>
          <w:p>
            <w:pPr>
              <w:pStyle w:val="Compact"/>
            </w:pPr>
            <w:r>
              <w:t xml:space="preserve">Agriculture, forestry &amp; fishing</w:t>
            </w:r>
          </w:p>
        </w:tc>
        <w:tc>
          <w:tcPr/>
          <w:p>
            <w:pPr>
              <w:pStyle w:val="Compact"/>
            </w:pPr>
            <w:r>
              <w:t xml:space="preserve">2022</w:t>
            </w:r>
          </w:p>
        </w:tc>
        <w:tc>
          <w:tcPr/>
          <w:p>
            <w:pPr>
              <w:pStyle w:val="Compact"/>
            </w:pPr>
            <w:r>
              <w:t xml:space="preserve">0.2449</w:t>
            </w:r>
          </w:p>
        </w:tc>
        <w:tc>
          <w:tcPr/>
          <w:p>
            <w:pPr>
              <w:pStyle w:val="Compact"/>
            </w:pPr>
            <w:r>
              <w:t xml:space="preserve">0.0324</w:t>
            </w:r>
          </w:p>
        </w:tc>
        <w:tc>
          <w:tcPr/>
          <w:p>
            <w:pPr>
              <w:pStyle w:val="Compact"/>
            </w:pPr>
            <w:r>
              <w:t xml:space="preserve">0.2125</w:t>
            </w:r>
          </w:p>
        </w:tc>
        <w:tc>
          <w:tcPr/>
          <w:p>
            <w:pPr>
              <w:pStyle w:val="Compact"/>
            </w:pPr>
            <w:r>
              <w:t xml:space="preserve">0.1885</w:t>
            </w:r>
          </w:p>
        </w:tc>
        <w:tc>
          <w:tcPr/>
          <w:p>
            <w:pPr>
              <w:pStyle w:val="Compact"/>
            </w:pPr>
            <w:r>
              <w:t xml:space="preserve">0.2262</w:t>
            </w:r>
          </w:p>
        </w:tc>
      </w:tr>
      <w:tr>
        <w:tc>
          <w:tcPr/>
          <w:p>
            <w:pPr>
              <w:pStyle w:val="Compact"/>
            </w:pPr>
            <w:r>
              <w:t xml:space="preserve">41</w:t>
            </w:r>
          </w:p>
        </w:tc>
        <w:tc>
          <w:tcPr/>
          <w:p>
            <w:pPr>
              <w:pStyle w:val="Compact"/>
            </w:pPr>
            <w:r>
              <w:t xml:space="preserve">Agriculture, forestry &amp; fishing_2020</w:t>
            </w:r>
          </w:p>
        </w:tc>
        <w:tc>
          <w:tcPr/>
          <w:p>
            <w:pPr>
              <w:pStyle w:val="Compact"/>
            </w:pPr>
            <w:r>
              <w:t xml:space="preserve">Agriculture, forestry &amp; fishing</w:t>
            </w:r>
          </w:p>
        </w:tc>
        <w:tc>
          <w:tcPr/>
          <w:p>
            <w:pPr>
              <w:pStyle w:val="Compact"/>
            </w:pPr>
            <w:r>
              <w:t xml:space="preserve">2020</w:t>
            </w:r>
          </w:p>
        </w:tc>
        <w:tc>
          <w:tcPr/>
          <w:p>
            <w:pPr>
              <w:pStyle w:val="Compact"/>
            </w:pPr>
            <w:r>
              <w:t xml:space="preserve">0.2496</w:t>
            </w:r>
          </w:p>
        </w:tc>
        <w:tc>
          <w:tcPr/>
          <w:p>
            <w:pPr>
              <w:pStyle w:val="Compact"/>
            </w:pPr>
            <w:r>
              <w:t xml:space="preserve">0.0406</w:t>
            </w:r>
          </w:p>
        </w:tc>
        <w:tc>
          <w:tcPr/>
          <w:p>
            <w:pPr>
              <w:pStyle w:val="Compact"/>
            </w:pPr>
            <w:r>
              <w:t xml:space="preserve">0.2090</w:t>
            </w:r>
          </w:p>
        </w:tc>
        <w:tc>
          <w:tcPr/>
          <w:p>
            <w:pPr>
              <w:pStyle w:val="Compact"/>
            </w:pPr>
            <w:r>
              <w:t xml:space="preserve">0.1730</w:t>
            </w:r>
          </w:p>
        </w:tc>
        <w:tc>
          <w:tcPr/>
          <w:p>
            <w:pPr>
              <w:pStyle w:val="Compact"/>
            </w:pPr>
            <w:r>
              <w:t xml:space="preserve">0.2289</w:t>
            </w:r>
          </w:p>
        </w:tc>
      </w:tr>
    </w:tbl>
    <w:p>
      <w:pPr>
        <w:pStyle w:val="BodyText"/>
      </w:pP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metrica</w:t>
            </w:r>
          </w:p>
        </w:tc>
        <w:tc>
          <w:tcPr/>
          <w:p>
            <w:pPr>
              <w:pStyle w:val="Compact"/>
            </w:pPr>
            <w:r>
              <w:t xml:space="preserve">valor</w:t>
            </w:r>
          </w:p>
        </w:tc>
      </w:tr>
      <w:tr>
        <w:tc>
          <w:tcPr/>
          <w:p>
            <w:pPr>
              <w:pStyle w:val="Compact"/>
            </w:pPr>
            <w:r>
              <w:t xml:space="preserve">0</w:t>
            </w:r>
          </w:p>
        </w:tc>
        <w:tc>
          <w:tcPr/>
          <w:p>
            <w:pPr>
              <w:pStyle w:val="Compact"/>
            </w:pPr>
            <w:r>
              <w:t xml:space="preserve">eficiencia media DEA</w:t>
            </w:r>
          </w:p>
        </w:tc>
        <w:tc>
          <w:tcPr/>
          <w:p>
            <w:pPr>
              <w:pStyle w:val="Compact"/>
            </w:pPr>
            <w:r>
              <w:t xml:space="preserve">0.6519</w:t>
            </w:r>
          </w:p>
        </w:tc>
      </w:tr>
      <w:tr>
        <w:tc>
          <w:tcPr/>
          <w:p>
            <w:pPr>
              <w:pStyle w:val="Compact"/>
            </w:pPr>
            <w:r>
              <w:t xml:space="preserve">1</w:t>
            </w:r>
          </w:p>
        </w:tc>
        <w:tc>
          <w:tcPr/>
          <w:p>
            <w:pPr>
              <w:pStyle w:val="Compact"/>
            </w:pPr>
            <w:r>
              <w:t xml:space="preserve">eficiencia media corregida</w:t>
            </w:r>
          </w:p>
        </w:tc>
        <w:tc>
          <w:tcPr/>
          <w:p>
            <w:pPr>
              <w:pStyle w:val="Compact"/>
            </w:pPr>
            <w:r>
              <w:t xml:space="preserve">0.5462</w:t>
            </w:r>
          </w:p>
        </w:tc>
      </w:tr>
    </w:tbl>
    <w:p>
      <w:pPr>
        <w:pStyle w:val="BodyText"/>
      </w:pPr>
      <w:r>
        <w:t xml:space="preserve">La corrección por sesgo confirma el sesgo determinista al alza: todas las DMU</w:t>
      </w:r>
      <w:r>
        <w:t xml:space="preserve"> </w:t>
      </w:r>
      <w:r>
        <w:t xml:space="preserve">reciben una eficiencia corregida estrictamente menor que la estimación DEA, y</w:t>
      </w:r>
      <w:r>
        <w:t xml:space="preserve"> </w:t>
      </w:r>
      <w:r>
        <w:t xml:space="preserve">las cuatro DMU originalmente eficientes (</w:t>
      </w:r>
      <m:oMath>
        <m:r>
          <m:t>θ</m:t>
        </m:r>
        <m:r>
          <m:rPr>
            <m:sty m:val="p"/>
          </m:rPr>
          <m:t>=</m:t>
        </m:r>
        <m:r>
          <m:t>1</m:t>
        </m:r>
      </m:oMath>
      <w:r>
        <w:t xml:space="preserve">) bajan de la frontera (por</w:t>
      </w:r>
      <w:r>
        <w:t xml:space="preserve"> </w:t>
      </w:r>
      <w:r>
        <w:t xml:space="preserve">ejemplo, Construcción 2023 pasa de 1,000 a 0,859, con un intervalo de confianza</w:t>
      </w:r>
      <w:r>
        <w:t xml:space="preserve"> </w:t>
      </w:r>
      <w:r>
        <w:t xml:space="preserve">al 95% de [0,754; 0,918]). La eficiencia media corregida es sustancialmente</w:t>
      </w:r>
      <w:r>
        <w:t xml:space="preserve"> </w:t>
      </w:r>
      <w:r>
        <w:t xml:space="preserve">inferior a la estimación puntual. Las comparaciones entre ramas solo deben</w:t>
      </w:r>
      <w:r>
        <w:t xml:space="preserve"> </w:t>
      </w:r>
      <w:r>
        <w:t xml:space="preserve">considerarse robustas cuando sus bandas de confianza no se solapan: la brecha</w:t>
      </w:r>
      <w:r>
        <w:t xml:space="preserve"> </w:t>
      </w:r>
      <w:r>
        <w:t xml:space="preserve">entre agricultura (banda superior en torno a 0,25) y los sectores líderes es</w:t>
      </w:r>
      <w:r>
        <w:t xml:space="preserve"> </w:t>
      </w:r>
      <w:r>
        <w:t xml:space="preserve">inequívoca, mientras que diferencias dentro del bloque intermedio</w:t>
      </w:r>
      <w:r>
        <w:t xml:space="preserve"> </w:t>
      </w:r>
      <w:r>
        <w:t xml:space="preserve">(manufactura, transporte, otras actividades) son estadísticamente menos nítidas.</w:t>
      </w:r>
    </w:p>
    <w:bookmarkEnd w:id="25"/>
    <w:bookmarkEnd w:id="26"/>
    <w:bookmarkStart w:id="27" w:name="discusión"/>
    <w:p>
      <w:pPr>
        <w:pStyle w:val="Heading1"/>
      </w:pPr>
      <w:r>
        <w:t xml:space="preserve">Discusión</w:t>
      </w:r>
    </w:p>
    <w:p>
      <w:pPr>
        <w:pStyle w:val="FirstParagraph"/>
      </w:pPr>
      <w:r>
        <w:t xml:space="preserve">Los resultados ofrecen un diagnóstico coherente. Por un lado, el HHI muestra que</w:t>
      </w:r>
      <w:r>
        <w:t xml:space="preserve"> </w:t>
      </w:r>
      <w:r>
        <w:t xml:space="preserve">Ecuador no ha avanzado hacia una mayor diversificación en lo que va del siglo;</w:t>
      </w:r>
      <w:r>
        <w:t xml:space="preserve"> </w:t>
      </w:r>
      <w:r>
        <w:t xml:space="preserve">si acaso, la concentración aumentó moderadamente. Esto es consistente con la</w:t>
      </w:r>
      <w:r>
        <w:t xml:space="preserve"> </w:t>
      </w:r>
      <w:r>
        <w:t xml:space="preserve">literatura que documenta la persistencia de estructuras primario-exportadoras en</w:t>
      </w:r>
      <w:r>
        <w:t xml:space="preserve"> </w:t>
      </w:r>
      <w:r>
        <w:t xml:space="preserve">economías dependientes de recursos</w:t>
      </w:r>
      <w:r>
        <w:t xml:space="preserve"> </w:t>
      </w:r>
      <w:r>
        <w:t xml:space="preserve">(Lederman &amp; Maloney, 2007; Sachs &amp; Warner, 1995; UNCTAD, 2019)</w:t>
      </w:r>
      <w:r>
        <w:t xml:space="preserve"> </w:t>
      </w:r>
      <w:r>
        <w:t xml:space="preserve">y con</w:t>
      </w:r>
      <w:r>
        <w:t xml:space="preserve"> </w:t>
      </w:r>
      <w:r>
        <w:t xml:space="preserve">la trayectoria no monótona de la diversificación descrita por</w:t>
      </w:r>
      <w:r>
        <w:t xml:space="preserve"> </w:t>
      </w:r>
      <w:r>
        <w:t xml:space="preserve">Imbs &amp; Wacziarg (2003)</w:t>
      </w:r>
      <w:r>
        <w:t xml:space="preserve"> </w:t>
      </w:r>
      <w:r>
        <w:t xml:space="preserve">y</w:t>
      </w:r>
      <w:r>
        <w:t xml:space="preserve"> </w:t>
      </w:r>
      <w:r>
        <w:t xml:space="preserve">Cadot et al. (2011)</w:t>
      </w:r>
      <w:r>
        <w:t xml:space="preserve">, en la que economías de ingreso medio pueden estancar su proceso de</w:t>
      </w:r>
      <w:r>
        <w:t xml:space="preserve"> </w:t>
      </w:r>
      <w:r>
        <w:t xml:space="preserve">diversificación.</w:t>
      </w:r>
    </w:p>
    <w:p>
      <w:pPr>
        <w:pStyle w:val="BodyText"/>
      </w:pPr>
      <w:r>
        <w:t xml:space="preserve">Por otro lado, el DEA revela que la eficiencia técnica es marcadamente</w:t>
      </w:r>
      <w:r>
        <w:t xml:space="preserve"> </w:t>
      </w:r>
      <w:r>
        <w:t xml:space="preserve">heterogénea entre sectores. Que la agricultura —intensiva en empleo y de baja</w:t>
      </w:r>
      <w:r>
        <w:t xml:space="preserve"> </w:t>
      </w:r>
      <w:r>
        <w:t xml:space="preserve">productividad relativa— quede rezagada, mientras minería-utilities opera cerca de</w:t>
      </w:r>
      <w:r>
        <w:t xml:space="preserve"> </w:t>
      </w:r>
      <w:r>
        <w:t xml:space="preserve">la frontera, ilustra la tensión central del desarrollo ecuatoriano: los sectores</w:t>
      </w:r>
      <w:r>
        <w:t xml:space="preserve"> </w:t>
      </w:r>
      <w:r>
        <w:t xml:space="preserve">más eficientes en el uso de factores no son necesariamente los más diversificados</w:t>
      </w:r>
      <w:r>
        <w:t xml:space="preserve"> </w:t>
      </w:r>
      <w:r>
        <w:t xml:space="preserve">ni los que generan más empleo de calidad. La eficiencia de la construcción debe</w:t>
      </w:r>
      <w:r>
        <w:t xml:space="preserve"> </w:t>
      </w:r>
      <w:r>
        <w:t xml:space="preserve">leerse con cautela, pues es sensible al ciclo de inversión pública y privada.</w:t>
      </w:r>
    </w:p>
    <w:p>
      <w:pPr>
        <w:pStyle w:val="BodyText"/>
      </w:pPr>
      <w:r>
        <w:t xml:space="preserve">La corrección de Simar–Wilson es metodológicamente decisiva: sin ella, las</w:t>
      </w:r>
      <w:r>
        <w:t xml:space="preserve"> </w:t>
      </w:r>
      <w:r>
        <w:t xml:space="preserve">eficiencias DEA sobreestiman sistemáticamente el desempeño y cualquier</w:t>
      </w:r>
      <w:r>
        <w:t xml:space="preserve"> </w:t>
      </w:r>
      <w:r>
        <w:t xml:space="preserve">ordenamiento entre sectores cercanos carecería de respaldo inferencial. Al</w:t>
      </w:r>
      <w:r>
        <w:t xml:space="preserve"> </w:t>
      </w:r>
      <w:r>
        <w:t xml:space="preserve">delimitar intervalos, el análisis distingue las diferencias robustas de las que</w:t>
      </w:r>
      <w:r>
        <w:t xml:space="preserve"> </w:t>
      </w:r>
      <w:r>
        <w:t xml:space="preserve">son producto del ruido muestral.</w:t>
      </w:r>
    </w:p>
    <w:bookmarkEnd w:id="27"/>
    <w:bookmarkStart w:id="28" w:name="conclusiones-e-implicaciones-de-política"/>
    <w:p>
      <w:pPr>
        <w:pStyle w:val="Heading1"/>
      </w:pPr>
      <w:r>
        <w:t xml:space="preserve">Conclusiones e implicaciones de política</w:t>
      </w:r>
    </w:p>
    <w:p>
      <w:pPr>
        <w:pStyle w:val="FirstParagraph"/>
      </w:pPr>
      <w:r>
        <w:t xml:space="preserve">Este trabajo replicó y extendió el marco de</w:t>
      </w:r>
      <w:r>
        <w:t xml:space="preserve"> </w:t>
      </w:r>
      <w:r>
        <w:t xml:space="preserve">Siddiqui &amp; Afzal (2022)</w:t>
      </w:r>
      <w:r>
        <w:t xml:space="preserve"> </w:t>
      </w:r>
      <w:r>
        <w:t xml:space="preserve">para Ecuador,</w:t>
      </w:r>
      <w:r>
        <w:t xml:space="preserve"> </w:t>
      </w:r>
      <w:r>
        <w:t xml:space="preserve">integrando una medición de concentración con poder discriminante, un DEA de</w:t>
      </w:r>
      <w:r>
        <w:t xml:space="preserve"> </w:t>
      </w:r>
      <w:r>
        <w:t xml:space="preserve">frontera de producción correctamente especificado e inferencia bootstrap. Tres</w:t>
      </w:r>
      <w:r>
        <w:t xml:space="preserve"> </w:t>
      </w:r>
      <w:r>
        <w:t xml:space="preserve">conclusiones se desprenden. Primera, Ecuador es una economía moderadamente</w:t>
      </w:r>
      <w:r>
        <w:t xml:space="preserve"> </w:t>
      </w:r>
      <w:r>
        <w:t xml:space="preserve">diversificada cuya concentración sectorial aumentó levemente entre 2000 y 2024.</w:t>
      </w:r>
      <w:r>
        <w:t xml:space="preserve"> </w:t>
      </w:r>
      <w:r>
        <w:t xml:space="preserve">Segunda, la eficiencia técnica es heterogénea: construcción y minería-utilities</w:t>
      </w:r>
      <w:r>
        <w:t xml:space="preserve"> </w:t>
      </w:r>
      <w:r>
        <w:t xml:space="preserve">lideran, agricultura y transporte-comunicación quedan rezagadas. Tercera, la</w:t>
      </w:r>
      <w:r>
        <w:t xml:space="preserve"> </w:t>
      </w:r>
      <w:r>
        <w:t xml:space="preserve">corrección por sesgo es indispensable para una lectura inferencial honesta.</w:t>
      </w:r>
    </w:p>
    <w:p>
      <w:pPr>
        <w:pStyle w:val="BodyText"/>
      </w:pPr>
      <w:r>
        <w:t xml:space="preserve">En términos de política, los hallazgos respaldan una estrategia de</w:t>
      </w:r>
      <w:r>
        <w:t xml:space="preserve"> </w:t>
      </w:r>
      <w:r>
        <w:t xml:space="preserve">transformación productiva que (i) eleve la eficiencia de los sectores intensivos</w:t>
      </w:r>
      <w:r>
        <w:t xml:space="preserve"> </w:t>
      </w:r>
      <w:r>
        <w:t xml:space="preserve">en empleo —en particular la agricultura— mediante tecnología, capital y</w:t>
      </w:r>
      <w:r>
        <w:t xml:space="preserve"> </w:t>
      </w:r>
      <w:r>
        <w:t xml:space="preserve">encadenamientos; (ii) aproveche la eficiencia de los sectores líderes para</w:t>
      </w:r>
      <w:r>
        <w:t xml:space="preserve"> </w:t>
      </w:r>
      <w:r>
        <w:t xml:space="preserve">financiar la diversificación, evitando que la concentración se profundice; y</w:t>
      </w:r>
      <w:r>
        <w:t xml:space="preserve"> </w:t>
      </w:r>
      <w:r>
        <w:t xml:space="preserve">(iii) fortalezca las capacidades de complejidad económica</w:t>
      </w:r>
      <w:r>
        <w:t xml:space="preserve"> </w:t>
      </w:r>
      <w:r>
        <w:t xml:space="preserve">(Hausmann et al., 2007; Hidalgo &amp; Hausmann, 2009)</w:t>
      </w:r>
      <w:r>
        <w:t xml:space="preserve"> </w:t>
      </w:r>
      <w:r>
        <w:t xml:space="preserve">como vía de largo plazo. La política industrial moderna sugiere</w:t>
      </w:r>
      <w:r>
        <w:t xml:space="preserve"> </w:t>
      </w:r>
      <w:r>
        <w:t xml:space="preserve">combinar incentivos horizontales con apuestas selectivas sujetas a evaluación</w:t>
      </w:r>
      <w:r>
        <w:t xml:space="preserve"> </w:t>
      </w:r>
      <w:r>
        <w:t xml:space="preserve">(</w:t>
      </w:r>
      <w:r>
        <w:t xml:space="preserve">Benhassine et al.</w:t>
      </w:r>
      <w:r>
        <w:t xml:space="preserve">, 2019; Rodrik, 2004)</w:t>
      </w:r>
      <w:r>
        <w:t xml:space="preserve">.</w:t>
      </w:r>
    </w:p>
    <w:bookmarkEnd w:id="28"/>
    <w:bookmarkStart w:id="29" w:name="limitaciones-y-agenda-futura"/>
    <w:p>
      <w:pPr>
        <w:pStyle w:val="Heading1"/>
      </w:pPr>
      <w:r>
        <w:t xml:space="preserve">Limitaciones y agenda futura</w:t>
      </w:r>
    </w:p>
    <w:p>
      <w:pPr>
        <w:pStyle w:val="FirstParagraph"/>
      </w:pPr>
      <w:r>
        <w:t xml:space="preserve">El análisis tiene límites que acotan su interpretación. El DEA identifica</w:t>
      </w:r>
      <w:r>
        <w:t xml:space="preserve"> </w:t>
      </w:r>
      <w:r>
        <w:t xml:space="preserve">posiciones relativas de eficiencia técnica bajo rendimientos constantes a</w:t>
      </w:r>
      <w:r>
        <w:t xml:space="preserve"> </w:t>
      </w:r>
      <w:r>
        <w:t xml:space="preserve">escala, no relaciones causales. La ventana del panel de eficiencia (2018–2023)</w:t>
      </w:r>
      <w:r>
        <w:t xml:space="preserve"> </w:t>
      </w:r>
      <w:r>
        <w:t xml:space="preserve">está condicionada por la cobertura de la FBKF armonizada. Las exportaciones, una</w:t>
      </w:r>
      <w:r>
        <w:t xml:space="preserve"> </w:t>
      </w:r>
      <w:r>
        <w:t xml:space="preserve">dimensión central de la diversificación, aún no se incorporan al DEA porque la</w:t>
      </w:r>
      <w:r>
        <w:t xml:space="preserve"> </w:t>
      </w:r>
      <w:r>
        <w:t xml:space="preserve">evidencia oficial del BCE se organiza por productos y países, no por ramas</w:t>
      </w:r>
      <w:r>
        <w:t xml:space="preserve"> </w:t>
      </w:r>
      <w:r>
        <w:t xml:space="preserve">equivalentes a la partición ISIC; el pipeline ya está preparado para</w:t>
      </w:r>
      <w:r>
        <w:t xml:space="preserve"> </w:t>
      </w:r>
      <w:r>
        <w:t xml:space="preserve">incorporarlas como segundo producto en cuanto exista una serie por rama</w:t>
      </w:r>
      <w:r>
        <w:t xml:space="preserve"> </w:t>
      </w:r>
      <w:r>
        <w:t xml:space="preserve">verificada. La agenda futura incluye: (i) extender el horizonte temporal del</w:t>
      </w:r>
      <w:r>
        <w:t xml:space="preserve"> </w:t>
      </w:r>
      <w:r>
        <w:t xml:space="preserve">panel de eficiencia; (ii) incorporar exportaciones y capital humano como</w:t>
      </w:r>
      <w:r>
        <w:t xml:space="preserve"> </w:t>
      </w:r>
      <w:r>
        <w:t xml:space="preserve">productos adicionales; (iii) aplicar la regresión truncada en dos etapas de</w:t>
      </w:r>
      <w:r>
        <w:t xml:space="preserve"> </w:t>
      </w:r>
      <w:r>
        <w:t xml:space="preserve">Simar &amp; Wilson (2007)</w:t>
      </w:r>
      <w:r>
        <w:t xml:space="preserve"> </w:t>
      </w:r>
      <w:r>
        <w:t xml:space="preserve">para explicar la (in)eficiencia con covariables; y (iv) complementar</w:t>
      </w:r>
      <w:r>
        <w:t xml:space="preserve"> </w:t>
      </w:r>
      <w:r>
        <w:t xml:space="preserve">el análisis con modelos de cambio estructural y series de tiempo sobre el vínculo</w:t>
      </w:r>
      <w:r>
        <w:t xml:space="preserve"> </w:t>
      </w:r>
      <w:r>
        <w:t xml:space="preserve">entre diversificación y crecimiento.</w:t>
      </w:r>
    </w:p>
    <w:bookmarkEnd w:id="29"/>
    <w:bookmarkStart w:id="86" w:name="referencias"/>
    <w:p>
      <w:pPr>
        <w:pStyle w:val="Heading1"/>
      </w:pPr>
      <w:r>
        <w:t xml:space="preserve">Referencias</w:t>
      </w:r>
    </w:p>
    <w:bookmarkStart w:id="85" w:name="refs"/>
    <w:bookmarkStart w:id="31" w:name="ref-adewuyi2017"/>
    <w:p>
      <w:pPr>
        <w:pStyle w:val="Bibliography"/>
      </w:pPr>
      <w:r>
        <w:t xml:space="preserve">Adewuyi, A. O., &amp; Awodumi, O. B. (2017). Biomass energy consumption, economic growth and carbon emissions: Fresh evidence from West Africa.</w:t>
      </w:r>
      <w:r>
        <w:t xml:space="preserve"> </w:t>
      </w:r>
      <w:r>
        <w:rPr>
          <w:i/>
          <w:iCs/>
        </w:rPr>
        <w:t xml:space="preserve">Energy Economics</w:t>
      </w:r>
      <w:r>
        <w:t xml:space="preserve">,</w:t>
      </w:r>
      <w:r>
        <w:t xml:space="preserve"> </w:t>
      </w:r>
      <w:r>
        <w:rPr>
          <w:i/>
          <w:iCs/>
        </w:rPr>
        <w:t xml:space="preserve">61</w:t>
      </w:r>
      <w:r>
        <w:t xml:space="preserve">, 31-44.</w:t>
      </w:r>
      <w:r>
        <w:t xml:space="preserve"> </w:t>
      </w:r>
      <w:hyperlink r:id="rId30">
        <w:r>
          <w:rPr>
            <w:rStyle w:val="Hyperlink"/>
          </w:rPr>
          <w:t xml:space="preserve">https://doi.org/10.1016/j.eneco.2016.11.005</w:t>
        </w:r>
      </w:hyperlink>
    </w:p>
    <w:bookmarkEnd w:id="31"/>
    <w:bookmarkStart w:id="32" w:name="ref-adjasi2024"/>
    <w:p>
      <w:pPr>
        <w:pStyle w:val="Bibliography"/>
      </w:pPr>
      <w:r>
        <w:t xml:space="preserve">Adjasi, C., Alhassan, A. L., &amp; Harvey, S. (2024). Financial development and economic diversification in</w:t>
      </w:r>
      <w:r>
        <w:t xml:space="preserve"> </w:t>
      </w:r>
      <w:r>
        <w:t xml:space="preserve">Africa</w:t>
      </w:r>
      <w:r>
        <w:t xml:space="preserve">.</w:t>
      </w:r>
      <w:r>
        <w:t xml:space="preserve"> </w:t>
      </w:r>
      <w:r>
        <w:rPr>
          <w:i/>
          <w:iCs/>
        </w:rPr>
        <w:t xml:space="preserve">Journal of African Economies</w:t>
      </w:r>
      <w:r>
        <w:t xml:space="preserve">.</w:t>
      </w:r>
    </w:p>
    <w:bookmarkEnd w:id="32"/>
    <w:bookmarkStart w:id="33" w:name="ref-asratie2023"/>
    <w:p>
      <w:pPr>
        <w:pStyle w:val="Bibliography"/>
      </w:pPr>
      <w:r>
        <w:t xml:space="preserve">Asratie, T. M., &amp; Mazengia, D. H. (2023). Determinants of export diversification in</w:t>
      </w:r>
      <w:r>
        <w:t xml:space="preserve"> </w:t>
      </w:r>
      <w:r>
        <w:t xml:space="preserve">Ethiopia</w:t>
      </w:r>
      <w:r>
        <w:t xml:space="preserve">.</w:t>
      </w:r>
      <w:r>
        <w:t xml:space="preserve"> </w:t>
      </w:r>
      <w:r>
        <w:rPr>
          <w:i/>
          <w:iCs/>
        </w:rPr>
        <w:t xml:space="preserve">Cogent Economics &amp; Finance</w:t>
      </w:r>
      <w:r>
        <w:t xml:space="preserve">,</w:t>
      </w:r>
      <w:r>
        <w:t xml:space="preserve"> </w:t>
      </w:r>
      <w:r>
        <w:rPr>
          <w:i/>
          <w:iCs/>
        </w:rPr>
        <w:t xml:space="preserve">11</w:t>
      </w:r>
      <w:r>
        <w:t xml:space="preserve">(1).</w:t>
      </w:r>
    </w:p>
    <w:bookmarkEnd w:id="33"/>
    <w:bookmarkStart w:id="34" w:name="ref-bce2024fbkf"/>
    <w:p>
      <w:pPr>
        <w:pStyle w:val="Bibliography"/>
      </w:pPr>
      <w:r>
        <w:t xml:space="preserve">Banco Central del Ecuador. (2024a).</w:t>
      </w:r>
      <w:r>
        <w:t xml:space="preserve"> </w:t>
      </w:r>
      <w:r>
        <w:rPr>
          <w:i/>
          <w:iCs/>
        </w:rPr>
        <w:t xml:space="preserve">Cuentas Nacionales Anuales: Formación Bruta de Capital Fijo por industria 1965–2024p</w:t>
      </w:r>
      <w:r>
        <w:t xml:space="preserve">. Banco Central del Ecuador.</w:t>
      </w:r>
    </w:p>
    <w:bookmarkEnd w:id="34"/>
    <w:bookmarkStart w:id="35" w:name="ref-bce2024mei"/>
    <w:p>
      <w:pPr>
        <w:pStyle w:val="Bibliography"/>
      </w:pPr>
      <w:r>
        <w:t xml:space="preserve">Banco Central del Ecuador. (2024b).</w:t>
      </w:r>
      <w:r>
        <w:t xml:space="preserve"> </w:t>
      </w:r>
      <w:r>
        <w:rPr>
          <w:i/>
          <w:iCs/>
        </w:rPr>
        <w:t xml:space="preserve">Cuentas Nacionales Anuales: Matriz de Empleo e Ingresos (MEI) 2018–2024p</w:t>
      </w:r>
      <w:r>
        <w:t xml:space="preserve">. Banco Central del Ecuador.</w:t>
      </w:r>
    </w:p>
    <w:bookmarkEnd w:id="35"/>
    <w:bookmarkStart w:id="37" w:name="ref-banker1984"/>
    <w:p>
      <w:pPr>
        <w:pStyle w:val="Bibliography"/>
      </w:pPr>
      <w:r>
        <w:t xml:space="preserve">Banker, R. D., Charnes, A., &amp; Cooper, W. W. (1984). Some models for estimating technical and scale inefficiencies in data envelopment analysis.</w:t>
      </w:r>
      <w:r>
        <w:t xml:space="preserve"> </w:t>
      </w:r>
      <w:r>
        <w:rPr>
          <w:i/>
          <w:iCs/>
        </w:rPr>
        <w:t xml:space="preserve">Management Science</w:t>
      </w:r>
      <w:r>
        <w:t xml:space="preserve">,</w:t>
      </w:r>
      <w:r>
        <w:t xml:space="preserve"> </w:t>
      </w:r>
      <w:r>
        <w:rPr>
          <w:i/>
          <w:iCs/>
        </w:rPr>
        <w:t xml:space="preserve">30</w:t>
      </w:r>
      <w:r>
        <w:t xml:space="preserve">(9), 1078-1092.</w:t>
      </w:r>
      <w:r>
        <w:t xml:space="preserve"> </w:t>
      </w:r>
      <w:hyperlink r:id="rId36">
        <w:r>
          <w:rPr>
            <w:rStyle w:val="Hyperlink"/>
          </w:rPr>
          <w:t xml:space="preserve">https://doi.org/10.1287/mnsc.30.9.1078</w:t>
        </w:r>
      </w:hyperlink>
    </w:p>
    <w:bookmarkEnd w:id="37"/>
    <w:bookmarkStart w:id="38" w:name="ref-bekhzad2011"/>
    <w:p>
      <w:pPr>
        <w:pStyle w:val="Bibliography"/>
      </w:pPr>
      <w:r>
        <w:t xml:space="preserve">Bekhzad, K. (2011). Economic diversification in resource-rich transition economies.</w:t>
      </w:r>
      <w:r>
        <w:t xml:space="preserve"> </w:t>
      </w:r>
      <w:r>
        <w:rPr>
          <w:i/>
          <w:iCs/>
        </w:rPr>
        <w:t xml:space="preserve">Working Paper</w:t>
      </w:r>
      <w:r>
        <w:t xml:space="preserve">.</w:t>
      </w:r>
    </w:p>
    <w:bookmarkEnd w:id="38"/>
    <w:bookmarkStart w:id="39" w:name="ref-benhassine2019"/>
    <w:p>
      <w:pPr>
        <w:pStyle w:val="Bibliography"/>
      </w:pPr>
      <w:r>
        <w:t xml:space="preserve">Benhassine, N., Raballand, G., et al.</w:t>
      </w:r>
      <w:r>
        <w:t xml:space="preserve"> (2019). Industrial policy and economic diversification in developing countries.</w:t>
      </w:r>
      <w:r>
        <w:t xml:space="preserve"> </w:t>
      </w:r>
      <w:r>
        <w:rPr>
          <w:i/>
          <w:iCs/>
        </w:rPr>
        <w:t xml:space="preserve">World Bank Policy Research</w:t>
      </w:r>
      <w:r>
        <w:t xml:space="preserve">.</w:t>
      </w:r>
    </w:p>
    <w:bookmarkEnd w:id="39"/>
    <w:bookmarkStart w:id="41" w:name="ref-cadot2011"/>
    <w:p>
      <w:pPr>
        <w:pStyle w:val="Bibliography"/>
      </w:pPr>
      <w:r>
        <w:t xml:space="preserve">Cadot, O., Carrère, C., &amp; Strauss-Kahn, V. (2011). Export diversification: What’s behind the hump?</w:t>
      </w:r>
      <w:r>
        <w:t xml:space="preserve"> </w:t>
      </w:r>
      <w:r>
        <w:rPr>
          <w:i/>
          <w:iCs/>
        </w:rPr>
        <w:t xml:space="preserve">The Review of Economics and Statistics</w:t>
      </w:r>
      <w:r>
        <w:t xml:space="preserve">,</w:t>
      </w:r>
      <w:r>
        <w:t xml:space="preserve"> </w:t>
      </w:r>
      <w:r>
        <w:rPr>
          <w:i/>
          <w:iCs/>
        </w:rPr>
        <w:t xml:space="preserve">93</w:t>
      </w:r>
      <w:r>
        <w:t xml:space="preserve">(2), 590-605.</w:t>
      </w:r>
      <w:r>
        <w:t xml:space="preserve"> </w:t>
      </w:r>
      <w:hyperlink r:id="rId40">
        <w:r>
          <w:rPr>
            <w:rStyle w:val="Hyperlink"/>
          </w:rPr>
          <w:t xml:space="preserve">https://doi.org/10.1162/REST_a_00078</w:t>
        </w:r>
      </w:hyperlink>
    </w:p>
    <w:bookmarkEnd w:id="41"/>
    <w:bookmarkStart w:id="43" w:name="ref-charnes1978"/>
    <w:p>
      <w:pPr>
        <w:pStyle w:val="Bibliography"/>
      </w:pPr>
      <w:r>
        <w:t xml:space="preserve">Charnes, A., Cooper, W. W., &amp; Rhodes, E. (1978). Measuring the efficiency of decision making units.</w:t>
      </w:r>
      <w:r>
        <w:t xml:space="preserve"> </w:t>
      </w:r>
      <w:r>
        <w:rPr>
          <w:i/>
          <w:iCs/>
        </w:rPr>
        <w:t xml:space="preserve">European Journal of Operational Research</w:t>
      </w:r>
      <w:r>
        <w:t xml:space="preserve">,</w:t>
      </w:r>
      <w:r>
        <w:t xml:space="preserve"> </w:t>
      </w:r>
      <w:r>
        <w:rPr>
          <w:i/>
          <w:iCs/>
        </w:rPr>
        <w:t xml:space="preserve">2</w:t>
      </w:r>
      <w:r>
        <w:t xml:space="preserve">(6), 429-444.</w:t>
      </w:r>
      <w:r>
        <w:t xml:space="preserve"> </w:t>
      </w:r>
      <w:hyperlink r:id="rId42">
        <w:r>
          <w:rPr>
            <w:rStyle w:val="Hyperlink"/>
          </w:rPr>
          <w:t xml:space="preserve">https://doi.org/10.1016/0377-2217(78)90138-8</w:t>
        </w:r>
      </w:hyperlink>
    </w:p>
    <w:bookmarkEnd w:id="43"/>
    <w:bookmarkStart w:id="44" w:name="ref-coelli2005"/>
    <w:p>
      <w:pPr>
        <w:pStyle w:val="Bibliography"/>
      </w:pPr>
      <w:r>
        <w:t xml:space="preserve">Coelli, T. J., Rao, D. S. P., O’Donnell, C. J., &amp; Battese, G. E. (2005).</w:t>
      </w:r>
      <w:r>
        <w:t xml:space="preserve"> </w:t>
      </w:r>
      <w:r>
        <w:rPr>
          <w:i/>
          <w:iCs/>
        </w:rPr>
        <w:t xml:space="preserve">An Introduction to Efficiency and Productivity Analysis</w:t>
      </w:r>
      <w:r>
        <w:t xml:space="preserve"> </w:t>
      </w:r>
      <w:r>
        <w:t xml:space="preserve">(2.ª ed.). Springer.</w:t>
      </w:r>
    </w:p>
    <w:bookmarkEnd w:id="44"/>
    <w:bookmarkStart w:id="45" w:name="ref-cooper2007"/>
    <w:p>
      <w:pPr>
        <w:pStyle w:val="Bibliography"/>
      </w:pPr>
      <w:r>
        <w:t xml:space="preserve">Cooper, W. W., Seiford, L. M., &amp; Tone, K. (2007).</w:t>
      </w:r>
      <w:r>
        <w:t xml:space="preserve"> </w:t>
      </w:r>
      <w:r>
        <w:rPr>
          <w:i/>
          <w:iCs/>
        </w:rPr>
        <w:t xml:space="preserve">Data Envelopment Analysis: A Comprehensive Text with Models, Applications, References and DEA-Solver Software</w:t>
      </w:r>
      <w:r>
        <w:t xml:space="preserve"> </w:t>
      </w:r>
      <w:r>
        <w:t xml:space="preserve">(2.ª ed.). Springer.</w:t>
      </w:r>
    </w:p>
    <w:bookmarkEnd w:id="45"/>
    <w:bookmarkStart w:id="47" w:name="ref-farrell1957"/>
    <w:p>
      <w:pPr>
        <w:pStyle w:val="Bibliography"/>
      </w:pPr>
      <w:r>
        <w:t xml:space="preserve">Farrell, M. J. (1957). The measurement of productive efficiency.</w:t>
      </w:r>
      <w:r>
        <w:t xml:space="preserve"> </w:t>
      </w:r>
      <w:r>
        <w:rPr>
          <w:i/>
          <w:iCs/>
        </w:rPr>
        <w:t xml:space="preserve">Journal of the Royal Statistical Society: Series A (General)</w:t>
      </w:r>
      <w:r>
        <w:t xml:space="preserve">,</w:t>
      </w:r>
      <w:r>
        <w:t xml:space="preserve"> </w:t>
      </w:r>
      <w:r>
        <w:rPr>
          <w:i/>
          <w:iCs/>
        </w:rPr>
        <w:t xml:space="preserve">120</w:t>
      </w:r>
      <w:r>
        <w:t xml:space="preserve">(3), 253-290.</w:t>
      </w:r>
      <w:r>
        <w:t xml:space="preserve"> </w:t>
      </w:r>
      <w:hyperlink r:id="rId46">
        <w:r>
          <w:rPr>
            <w:rStyle w:val="Hyperlink"/>
          </w:rPr>
          <w:t xml:space="preserve">https://doi.org/10.2307/2343100</w:t>
        </w:r>
      </w:hyperlink>
    </w:p>
    <w:bookmarkEnd w:id="47"/>
    <w:bookmarkStart w:id="48" w:name="ref-gaiano2010"/>
    <w:p>
      <w:pPr>
        <w:pStyle w:val="Bibliography"/>
      </w:pPr>
      <w:r>
        <w:t xml:space="preserve">Gaiano, M. (2010). Estructura productiva y diversificación económica en América Latina.</w:t>
      </w:r>
      <w:r>
        <w:t xml:space="preserve"> </w:t>
      </w:r>
      <w:r>
        <w:rPr>
          <w:i/>
          <w:iCs/>
        </w:rPr>
        <w:t xml:space="preserve">Working Paper</w:t>
      </w:r>
      <w:r>
        <w:t xml:space="preserve">.</w:t>
      </w:r>
    </w:p>
    <w:bookmarkEnd w:id="48"/>
    <w:bookmarkStart w:id="49" w:name="ref-gyebi2017"/>
    <w:p>
      <w:pPr>
        <w:pStyle w:val="Bibliography"/>
      </w:pPr>
      <w:r>
        <w:t xml:space="preserve">Gyebi, F. et al.</w:t>
      </w:r>
      <w:r>
        <w:t xml:space="preserve"> (2017). Export diversification and economic growth in developing economies.</w:t>
      </w:r>
      <w:r>
        <w:t xml:space="preserve"> </w:t>
      </w:r>
      <w:r>
        <w:rPr>
          <w:i/>
          <w:iCs/>
        </w:rPr>
        <w:t xml:space="preserve">Journal of Economics and Sustainable Development</w:t>
      </w:r>
      <w:r>
        <w:t xml:space="preserve">.</w:t>
      </w:r>
    </w:p>
    <w:bookmarkEnd w:id="49"/>
    <w:bookmarkStart w:id="51" w:name="ref-gylfason2001"/>
    <w:p>
      <w:pPr>
        <w:pStyle w:val="Bibliography"/>
      </w:pPr>
      <w:r>
        <w:t xml:space="preserve">Gylfason, T. (2001). Natural resources, education, and economic development.</w:t>
      </w:r>
      <w:r>
        <w:t xml:space="preserve"> </w:t>
      </w:r>
      <w:r>
        <w:rPr>
          <w:i/>
          <w:iCs/>
        </w:rPr>
        <w:t xml:space="preserve">European Economic Review</w:t>
      </w:r>
      <w:r>
        <w:t xml:space="preserve">,</w:t>
      </w:r>
      <w:r>
        <w:t xml:space="preserve"> </w:t>
      </w:r>
      <w:r>
        <w:rPr>
          <w:i/>
          <w:iCs/>
        </w:rPr>
        <w:t xml:space="preserve">45</w:t>
      </w:r>
      <w:r>
        <w:t xml:space="preserve">(4–6), 847-859.</w:t>
      </w:r>
      <w:r>
        <w:t xml:space="preserve"> </w:t>
      </w:r>
      <w:hyperlink r:id="rId50">
        <w:r>
          <w:rPr>
            <w:rStyle w:val="Hyperlink"/>
          </w:rPr>
          <w:t xml:space="preserve">https://doi.org/10.1016/S0014-2921(01)00127-1</w:t>
        </w:r>
      </w:hyperlink>
    </w:p>
    <w:bookmarkEnd w:id="51"/>
    <w:bookmarkStart w:id="53" w:name="ref-hausmann2007"/>
    <w:p>
      <w:pPr>
        <w:pStyle w:val="Bibliography"/>
      </w:pPr>
      <w:r>
        <w:t xml:space="preserve">Hausmann, R., Hwang, J., &amp; Rodrik, D. (2007). What you export matters.</w:t>
      </w:r>
      <w:r>
        <w:t xml:space="preserve"> </w:t>
      </w:r>
      <w:r>
        <w:rPr>
          <w:i/>
          <w:iCs/>
        </w:rPr>
        <w:t xml:space="preserve">Journal of Economic Growth</w:t>
      </w:r>
      <w:r>
        <w:t xml:space="preserve">,</w:t>
      </w:r>
      <w:r>
        <w:t xml:space="preserve"> </w:t>
      </w:r>
      <w:r>
        <w:rPr>
          <w:i/>
          <w:iCs/>
        </w:rPr>
        <w:t xml:space="preserve">12</w:t>
      </w:r>
      <w:r>
        <w:t xml:space="preserve">(1), 1-25.</w:t>
      </w:r>
      <w:r>
        <w:t xml:space="preserve"> </w:t>
      </w:r>
      <w:hyperlink r:id="rId52">
        <w:r>
          <w:rPr>
            <w:rStyle w:val="Hyperlink"/>
          </w:rPr>
          <w:t xml:space="preserve">https://doi.org/10.1007/s10887-006-9009-4</w:t>
        </w:r>
      </w:hyperlink>
    </w:p>
    <w:bookmarkEnd w:id="53"/>
    <w:bookmarkStart w:id="54" w:name="ref-herfindahl1950"/>
    <w:p>
      <w:pPr>
        <w:pStyle w:val="Bibliography"/>
      </w:pPr>
      <w:r>
        <w:t xml:space="preserve">Herfindahl, O. C. (1950).</w:t>
      </w:r>
      <w:r>
        <w:t xml:space="preserve"> </w:t>
      </w:r>
      <w:r>
        <w:rPr>
          <w:i/>
          <w:iCs/>
        </w:rPr>
        <w:t xml:space="preserve">Concentration in the Steel Industry</w:t>
      </w:r>
      <w:r>
        <w:t xml:space="preserve">. Columbia University, Ph.D. dissertation.</w:t>
      </w:r>
    </w:p>
    <w:bookmarkEnd w:id="54"/>
    <w:bookmarkStart w:id="55" w:name="ref-hesse2008"/>
    <w:p>
      <w:pPr>
        <w:pStyle w:val="Bibliography"/>
      </w:pPr>
      <w:r>
        <w:t xml:space="preserve">Hesse, H. (2008).</w:t>
      </w:r>
      <w:r>
        <w:t xml:space="preserve"> </w:t>
      </w:r>
      <w:r>
        <w:rPr>
          <w:i/>
          <w:iCs/>
        </w:rPr>
        <w:t xml:space="preserve">Export Diversification and Economic Growth</w:t>
      </w:r>
      <w:r>
        <w:t xml:space="preserve"> </w:t>
      </w:r>
      <w:r>
        <w:t xml:space="preserve">(Working Paper No. 21). Commission on Growth; Development.</w:t>
      </w:r>
    </w:p>
    <w:bookmarkEnd w:id="55"/>
    <w:bookmarkStart w:id="57" w:name="ref-hidalgo2009"/>
    <w:p>
      <w:pPr>
        <w:pStyle w:val="Bibliography"/>
      </w:pPr>
      <w:r>
        <w:t xml:space="preserve">Hidalgo, C. A., &amp; Hausmann, R. (2009). The building blocks of economic complexity.</w:t>
      </w:r>
      <w:r>
        <w:t xml:space="preserve"> </w:t>
      </w:r>
      <w:r>
        <w:rPr>
          <w:i/>
          <w:iCs/>
        </w:rPr>
        <w:t xml:space="preserve">Proceedings of the National Academy of Sciences</w:t>
      </w:r>
      <w:r>
        <w:t xml:space="preserve">,</w:t>
      </w:r>
      <w:r>
        <w:t xml:space="preserve"> </w:t>
      </w:r>
      <w:r>
        <w:rPr>
          <w:i/>
          <w:iCs/>
        </w:rPr>
        <w:t xml:space="preserve">106</w:t>
      </w:r>
      <w:r>
        <w:t xml:space="preserve">(26), 10570-10575.</w:t>
      </w:r>
      <w:r>
        <w:t xml:space="preserve"> </w:t>
      </w:r>
      <w:hyperlink r:id="rId56">
        <w:r>
          <w:rPr>
            <w:rStyle w:val="Hyperlink"/>
          </w:rPr>
          <w:t xml:space="preserve">https://doi.org/10.1073/pnas.0900943106</w:t>
        </w:r>
      </w:hyperlink>
    </w:p>
    <w:bookmarkEnd w:id="57"/>
    <w:bookmarkStart w:id="58" w:name="ref-hirschman1964"/>
    <w:p>
      <w:pPr>
        <w:pStyle w:val="Bibliography"/>
      </w:pPr>
      <w:r>
        <w:t xml:space="preserve">Hirschman, A. O. (1964). The paternity of an index.</w:t>
      </w:r>
      <w:r>
        <w:t xml:space="preserve"> </w:t>
      </w:r>
      <w:r>
        <w:rPr>
          <w:i/>
          <w:iCs/>
        </w:rPr>
        <w:t xml:space="preserve">The American Economic Review</w:t>
      </w:r>
      <w:r>
        <w:t xml:space="preserve">,</w:t>
      </w:r>
      <w:r>
        <w:t xml:space="preserve"> </w:t>
      </w:r>
      <w:r>
        <w:rPr>
          <w:i/>
          <w:iCs/>
        </w:rPr>
        <w:t xml:space="preserve">54</w:t>
      </w:r>
      <w:r>
        <w:t xml:space="preserve">(5), 761-762.</w:t>
      </w:r>
    </w:p>
    <w:bookmarkEnd w:id="58"/>
    <w:bookmarkStart w:id="59" w:name="ref-hodey2019"/>
    <w:p>
      <w:pPr>
        <w:pStyle w:val="Bibliography"/>
      </w:pPr>
      <w:r>
        <w:t xml:space="preserve">Hodey, L. S., Oduro, A. D., &amp; Senadza, B. (2019). Export diversification and economic growth in</w:t>
      </w:r>
      <w:r>
        <w:t xml:space="preserve"> </w:t>
      </w:r>
      <w:r>
        <w:t xml:space="preserve">Sub-Saharan Africa</w:t>
      </w:r>
      <w:r>
        <w:t xml:space="preserve">.</w:t>
      </w:r>
      <w:r>
        <w:t xml:space="preserve"> </w:t>
      </w:r>
      <w:r>
        <w:rPr>
          <w:i/>
          <w:iCs/>
        </w:rPr>
        <w:t xml:space="preserve">Journal of African Development</w:t>
      </w:r>
      <w:r>
        <w:t xml:space="preserve">.</w:t>
      </w:r>
    </w:p>
    <w:bookmarkEnd w:id="59"/>
    <w:bookmarkStart w:id="61" w:name="ref-imbs2003"/>
    <w:p>
      <w:pPr>
        <w:pStyle w:val="Bibliography"/>
      </w:pPr>
      <w:r>
        <w:t xml:space="preserve">Imbs, J., &amp; Wacziarg, R. (2003). Stages of diversification.</w:t>
      </w:r>
      <w:r>
        <w:t xml:space="preserve"> </w:t>
      </w:r>
      <w:r>
        <w:rPr>
          <w:i/>
          <w:iCs/>
        </w:rPr>
        <w:t xml:space="preserve">The American Economic Review</w:t>
      </w:r>
      <w:r>
        <w:t xml:space="preserve">,</w:t>
      </w:r>
      <w:r>
        <w:t xml:space="preserve"> </w:t>
      </w:r>
      <w:r>
        <w:rPr>
          <w:i/>
          <w:iCs/>
        </w:rPr>
        <w:t xml:space="preserve">93</w:t>
      </w:r>
      <w:r>
        <w:t xml:space="preserve">(1), 63-86.</w:t>
      </w:r>
      <w:r>
        <w:t xml:space="preserve"> </w:t>
      </w:r>
      <w:hyperlink r:id="rId60">
        <w:r>
          <w:rPr>
            <w:rStyle w:val="Hyperlink"/>
          </w:rPr>
          <w:t xml:space="preserve">https://doi.org/10.1257/000282803321455160</w:t>
        </w:r>
      </w:hyperlink>
    </w:p>
    <w:bookmarkEnd w:id="61"/>
    <w:bookmarkStart w:id="62" w:name="ref-islam2023"/>
    <w:p>
      <w:pPr>
        <w:pStyle w:val="Bibliography"/>
      </w:pPr>
      <w:r>
        <w:t xml:space="preserve">Islam, Md. S. et al.</w:t>
      </w:r>
      <w:r>
        <w:t xml:space="preserve"> (2023). Export diversification, structural transformation and economic growth.</w:t>
      </w:r>
      <w:r>
        <w:t xml:space="preserve"> </w:t>
      </w:r>
      <w:r>
        <w:rPr>
          <w:i/>
          <w:iCs/>
        </w:rPr>
        <w:t xml:space="preserve">Economic Change and Restructuring</w:t>
      </w:r>
      <w:r>
        <w:t xml:space="preserve">.</w:t>
      </w:r>
    </w:p>
    <w:bookmarkEnd w:id="62"/>
    <w:bookmarkStart w:id="63" w:name="ref-jovovic2020"/>
    <w:p>
      <w:pPr>
        <w:pStyle w:val="Bibliography"/>
      </w:pPr>
      <w:r>
        <w:t xml:space="preserve">Jovović, R. (2020). Economic diversification and competitiveness of small economies.</w:t>
      </w:r>
      <w:r>
        <w:t xml:space="preserve"> </w:t>
      </w:r>
      <w:r>
        <w:rPr>
          <w:i/>
          <w:iCs/>
        </w:rPr>
        <w:t xml:space="preserve">Montenegrin Journal of Economics</w:t>
      </w:r>
      <w:r>
        <w:t xml:space="preserve">.</w:t>
      </w:r>
    </w:p>
    <w:bookmarkEnd w:id="63"/>
    <w:bookmarkStart w:id="64" w:name="ref-kuznets1955"/>
    <w:p>
      <w:pPr>
        <w:pStyle w:val="Bibliography"/>
      </w:pPr>
      <w:r>
        <w:t xml:space="preserve">Kuznets, S. (1955). Economic growth and income inequality.</w:t>
      </w:r>
      <w:r>
        <w:t xml:space="preserve"> </w:t>
      </w:r>
      <w:r>
        <w:rPr>
          <w:i/>
          <w:iCs/>
        </w:rPr>
        <w:t xml:space="preserve">The American Economic Review</w:t>
      </w:r>
      <w:r>
        <w:t xml:space="preserve">,</w:t>
      </w:r>
      <w:r>
        <w:t xml:space="preserve"> </w:t>
      </w:r>
      <w:r>
        <w:rPr>
          <w:i/>
          <w:iCs/>
        </w:rPr>
        <w:t xml:space="preserve">45</w:t>
      </w:r>
      <w:r>
        <w:t xml:space="preserve">(1), 1-28.</w:t>
      </w:r>
    </w:p>
    <w:bookmarkEnd w:id="64"/>
    <w:bookmarkStart w:id="65" w:name="ref-lederman2007"/>
    <w:p>
      <w:pPr>
        <w:pStyle w:val="Bibliography"/>
      </w:pPr>
      <w:r>
        <w:t xml:space="preserve">Lederman, D., &amp; Maloney, W. F. (Eds.). (2007).</w:t>
      </w:r>
      <w:r>
        <w:t xml:space="preserve"> </w:t>
      </w:r>
      <w:r>
        <w:rPr>
          <w:i/>
          <w:iCs/>
        </w:rPr>
        <w:t xml:space="preserve">Natural Resources: Neither Curse nor Destiny</w:t>
      </w:r>
      <w:r>
        <w:t xml:space="preserve">. World Bank; Stanford University Press.</w:t>
      </w:r>
    </w:p>
    <w:bookmarkEnd w:id="65"/>
    <w:bookmarkStart w:id="67" w:name="ref-lewis1954"/>
    <w:p>
      <w:pPr>
        <w:pStyle w:val="Bibliography"/>
      </w:pPr>
      <w:r>
        <w:t xml:space="preserve">Lewis, W. A. (1954). Economic development with unlimited supplies of labour.</w:t>
      </w:r>
      <w:r>
        <w:t xml:space="preserve"> </w:t>
      </w:r>
      <w:r>
        <w:rPr>
          <w:i/>
          <w:iCs/>
        </w:rPr>
        <w:t xml:space="preserve">The Manchester School</w:t>
      </w:r>
      <w:r>
        <w:t xml:space="preserve">,</w:t>
      </w:r>
      <w:r>
        <w:t xml:space="preserve"> </w:t>
      </w:r>
      <w:r>
        <w:rPr>
          <w:i/>
          <w:iCs/>
        </w:rPr>
        <w:t xml:space="preserve">22</w:t>
      </w:r>
      <w:r>
        <w:t xml:space="preserve">(2), 139-191.</w:t>
      </w:r>
      <w:r>
        <w:t xml:space="preserve"> </w:t>
      </w:r>
      <w:hyperlink r:id="rId66">
        <w:r>
          <w:rPr>
            <w:rStyle w:val="Hyperlink"/>
          </w:rPr>
          <w:t xml:space="preserve">https://doi.org/10.1111/j.1467-9957.1954.tb00021.x</w:t>
        </w:r>
      </w:hyperlink>
    </w:p>
    <w:bookmarkEnd w:id="67"/>
    <w:bookmarkStart w:id="68" w:name="ref-niyimbanira2022"/>
    <w:p>
      <w:pPr>
        <w:pStyle w:val="Bibliography"/>
      </w:pPr>
      <w:r>
        <w:t xml:space="preserve">Niyimbanira, F. et al.</w:t>
      </w:r>
      <w:r>
        <w:t xml:space="preserve"> (2022). Sectoral economic growth and employment in a developing economy.</w:t>
      </w:r>
      <w:r>
        <w:t xml:space="preserve"> </w:t>
      </w:r>
      <w:r>
        <w:rPr>
          <w:i/>
          <w:iCs/>
        </w:rPr>
        <w:t xml:space="preserve">International Journal of Economics and Finance Studies</w:t>
      </w:r>
      <w:r>
        <w:t xml:space="preserve">.</w:t>
      </w:r>
    </w:p>
    <w:bookmarkEnd w:id="68"/>
    <w:bookmarkStart w:id="69" w:name="ref-prebisch1950"/>
    <w:p>
      <w:pPr>
        <w:pStyle w:val="Bibliography"/>
      </w:pPr>
      <w:r>
        <w:t xml:space="preserve">Prebisch, R. (1950). The Economic Development of Latin America and Its Principal Problems.</w:t>
      </w:r>
      <w:r>
        <w:t xml:space="preserve"> </w:t>
      </w:r>
      <w:r>
        <w:rPr>
          <w:i/>
          <w:iCs/>
        </w:rPr>
        <w:t xml:space="preserve">United Nations, Economic Commission for Latin America</w:t>
      </w:r>
      <w:r>
        <w:t xml:space="preserve">.</w:t>
      </w:r>
    </w:p>
    <w:bookmarkEnd w:id="69"/>
    <w:bookmarkStart w:id="70" w:name="ref-rivera2025"/>
    <w:p>
      <w:pPr>
        <w:pStyle w:val="Bibliography"/>
      </w:pPr>
      <w:r>
        <w:t xml:space="preserve">Rivera Velasco, J. L. (2025). Diversificación productiva y desarrollo económico en</w:t>
      </w:r>
      <w:r>
        <w:t xml:space="preserve"> </w:t>
      </w:r>
      <w:r>
        <w:t xml:space="preserve">Ecuador</w:t>
      </w:r>
      <w:r>
        <w:t xml:space="preserve">.</w:t>
      </w:r>
      <w:r>
        <w:t xml:space="preserve"> </w:t>
      </w:r>
      <w:r>
        <w:rPr>
          <w:i/>
          <w:iCs/>
        </w:rPr>
        <w:t xml:space="preserve">Revista de Economía y Política</w:t>
      </w:r>
      <w:r>
        <w:t xml:space="preserve">.</w:t>
      </w:r>
    </w:p>
    <w:bookmarkEnd w:id="70"/>
    <w:bookmarkStart w:id="71" w:name="ref-rodrik2004"/>
    <w:p>
      <w:pPr>
        <w:pStyle w:val="Bibliography"/>
      </w:pPr>
      <w:r>
        <w:t xml:space="preserve">Rodrik, D. (2004). Industrial policy for the twenty-first century.</w:t>
      </w:r>
      <w:r>
        <w:t xml:space="preserve"> </w:t>
      </w:r>
      <w:r>
        <w:rPr>
          <w:i/>
          <w:iCs/>
        </w:rPr>
        <w:t xml:space="preserve">CEPR Discussion Paper</w:t>
      </w:r>
      <w:r>
        <w:t xml:space="preserve">, (4767).</w:t>
      </w:r>
    </w:p>
    <w:bookmarkEnd w:id="71"/>
    <w:bookmarkStart w:id="73" w:name="ref-sachs1995"/>
    <w:p>
      <w:pPr>
        <w:pStyle w:val="Bibliography"/>
      </w:pPr>
      <w:r>
        <w:t xml:space="preserve">Sachs, J. D., &amp; Warner, A. M. (1995).</w:t>
      </w:r>
      <w:r>
        <w:t xml:space="preserve"> </w:t>
      </w:r>
      <w:r>
        <w:rPr>
          <w:i/>
          <w:iCs/>
        </w:rPr>
        <w:t xml:space="preserve">Natural Resource Abundance and Economic Growth</w:t>
      </w:r>
      <w:r>
        <w:t xml:space="preserve"> </w:t>
      </w:r>
      <w:r>
        <w:t xml:space="preserve">(NBER Working Paper No. 5398). National Bureau of Economic Research.</w:t>
      </w:r>
      <w:r>
        <w:t xml:space="preserve"> </w:t>
      </w:r>
      <w:hyperlink r:id="rId72">
        <w:r>
          <w:rPr>
            <w:rStyle w:val="Hyperlink"/>
          </w:rPr>
          <w:t xml:space="preserve">https://doi.org/10.3386/w5398</w:t>
        </w:r>
      </w:hyperlink>
    </w:p>
    <w:bookmarkEnd w:id="73"/>
    <w:bookmarkStart w:id="74" w:name="ref-santospaulino2010"/>
    <w:p>
      <w:pPr>
        <w:pStyle w:val="Bibliography"/>
      </w:pPr>
      <w:r>
        <w:t xml:space="preserve">Santos-Paulino, A. U. (2010). Trade specialization, export productivity and growth in developing countries.</w:t>
      </w:r>
      <w:r>
        <w:t xml:space="preserve"> </w:t>
      </w:r>
      <w:r>
        <w:rPr>
          <w:i/>
          <w:iCs/>
        </w:rPr>
        <w:t xml:space="preserve">United Nations University-WIDER Working Paper</w:t>
      </w:r>
      <w:r>
        <w:t xml:space="preserve">.</w:t>
      </w:r>
    </w:p>
    <w:bookmarkEnd w:id="74"/>
    <w:bookmarkStart w:id="75" w:name="ref-sari2025"/>
    <w:p>
      <w:pPr>
        <w:pStyle w:val="Bibliography"/>
      </w:pPr>
      <w:r>
        <w:t xml:space="preserve">Sari, R., Ewing, B. T., et al.</w:t>
      </w:r>
      <w:r>
        <w:t xml:space="preserve"> (2025). Energy, output and structural change in resource-dependent economies.</w:t>
      </w:r>
      <w:r>
        <w:t xml:space="preserve"> </w:t>
      </w:r>
      <w:r>
        <w:rPr>
          <w:i/>
          <w:iCs/>
        </w:rPr>
        <w:t xml:space="preserve">Energy Economics</w:t>
      </w:r>
      <w:r>
        <w:t xml:space="preserve">.</w:t>
      </w:r>
    </w:p>
    <w:bookmarkEnd w:id="75"/>
    <w:bookmarkStart w:id="77" w:name="ref-siddiqui2022"/>
    <w:p>
      <w:pPr>
        <w:pStyle w:val="Bibliography"/>
      </w:pPr>
      <w:r>
        <w:t xml:space="preserve">Siddiqui, S. A., &amp; Afzal, M. N. I. (2022). Sectoral diversification of the</w:t>
      </w:r>
      <w:r>
        <w:t xml:space="preserve"> </w:t>
      </w:r>
      <w:r>
        <w:t xml:space="preserve">UAE</w:t>
      </w:r>
      <w:r>
        <w:t xml:space="preserve"> </w:t>
      </w:r>
      <w:r>
        <w:t xml:space="preserve">toward a knowledge-based economy.</w:t>
      </w:r>
      <w:r>
        <w:t xml:space="preserve"> </w:t>
      </w:r>
      <w:r>
        <w:rPr>
          <w:i/>
          <w:iCs/>
        </w:rPr>
        <w:t xml:space="preserve">Review of Economics and Political Science</w:t>
      </w:r>
      <w:r>
        <w:t xml:space="preserve">,</w:t>
      </w:r>
      <w:r>
        <w:t xml:space="preserve"> </w:t>
      </w:r>
      <w:r>
        <w:rPr>
          <w:i/>
          <w:iCs/>
        </w:rPr>
        <w:t xml:space="preserve">7</w:t>
      </w:r>
      <w:r>
        <w:t xml:space="preserve">(3), 177-193.</w:t>
      </w:r>
      <w:r>
        <w:t xml:space="preserve"> </w:t>
      </w:r>
      <w:hyperlink r:id="rId76">
        <w:r>
          <w:rPr>
            <w:rStyle w:val="Hyperlink"/>
          </w:rPr>
          <w:t xml:space="preserve">https://doi.org/10.1108/REPS-07-2021-0075</w:t>
        </w:r>
      </w:hyperlink>
    </w:p>
    <w:bookmarkEnd w:id="77"/>
    <w:bookmarkStart w:id="79" w:name="ref-simar1998"/>
    <w:p>
      <w:pPr>
        <w:pStyle w:val="Bibliography"/>
      </w:pPr>
      <w:r>
        <w:t xml:space="preserve">Simar, L., &amp; Wilson, P. W. (1998). Sensitivity analysis of efficiency scores: How to bootstrap in nonparametric frontier models.</w:t>
      </w:r>
      <w:r>
        <w:t xml:space="preserve"> </w:t>
      </w:r>
      <w:r>
        <w:rPr>
          <w:i/>
          <w:iCs/>
        </w:rPr>
        <w:t xml:space="preserve">Management Science</w:t>
      </w:r>
      <w:r>
        <w:t xml:space="preserve">,</w:t>
      </w:r>
      <w:r>
        <w:t xml:space="preserve"> </w:t>
      </w:r>
      <w:r>
        <w:rPr>
          <w:i/>
          <w:iCs/>
        </w:rPr>
        <w:t xml:space="preserve">44</w:t>
      </w:r>
      <w:r>
        <w:t xml:space="preserve">(1), 49-61.</w:t>
      </w:r>
      <w:r>
        <w:t xml:space="preserve"> </w:t>
      </w:r>
      <w:hyperlink r:id="rId78">
        <w:r>
          <w:rPr>
            <w:rStyle w:val="Hyperlink"/>
          </w:rPr>
          <w:t xml:space="preserve">https://doi.org/10.1287/mnsc.44.1.49</w:t>
        </w:r>
      </w:hyperlink>
    </w:p>
    <w:bookmarkEnd w:id="79"/>
    <w:bookmarkStart w:id="81" w:name="ref-simar2007"/>
    <w:p>
      <w:pPr>
        <w:pStyle w:val="Bibliography"/>
      </w:pPr>
      <w:r>
        <w:t xml:space="preserve">Simar, L., &amp; Wilson, P. W. (2007). Estimation and inference in two-stage, semi-parametric models of production processes.</w:t>
      </w:r>
      <w:r>
        <w:t xml:space="preserve"> </w:t>
      </w:r>
      <w:r>
        <w:rPr>
          <w:i/>
          <w:iCs/>
        </w:rPr>
        <w:t xml:space="preserve">Journal of Econometrics</w:t>
      </w:r>
      <w:r>
        <w:t xml:space="preserve">,</w:t>
      </w:r>
      <w:r>
        <w:t xml:space="preserve"> </w:t>
      </w:r>
      <w:r>
        <w:rPr>
          <w:i/>
          <w:iCs/>
        </w:rPr>
        <w:t xml:space="preserve">136</w:t>
      </w:r>
      <w:r>
        <w:t xml:space="preserve">(1), 31-64.</w:t>
      </w:r>
      <w:r>
        <w:t xml:space="preserve"> </w:t>
      </w:r>
      <w:hyperlink r:id="rId80">
        <w:r>
          <w:rPr>
            <w:rStyle w:val="Hyperlink"/>
          </w:rPr>
          <w:t xml:space="preserve">https://doi.org/10.1016/j.jeconom.2005.07.009</w:t>
        </w:r>
      </w:hyperlink>
    </w:p>
    <w:bookmarkEnd w:id="81"/>
    <w:bookmarkStart w:id="82" w:name="ref-unctad2019"/>
    <w:p>
      <w:pPr>
        <w:pStyle w:val="Bibliography"/>
      </w:pPr>
      <w:r>
        <w:t xml:space="preserve">UNCTAD. (2019).</w:t>
      </w:r>
      <w:r>
        <w:t xml:space="preserve"> </w:t>
      </w:r>
      <w:r>
        <w:rPr>
          <w:i/>
          <w:iCs/>
        </w:rPr>
        <w:t xml:space="preserve">Commodity Dependence: A Twenty-Year Perspective</w:t>
      </w:r>
      <w:r>
        <w:t xml:space="preserve">. United Nations Conference on Trade; Development.</w:t>
      </w:r>
    </w:p>
    <w:bookmarkEnd w:id="82"/>
    <w:bookmarkStart w:id="83" w:name="ref-unsd2024"/>
    <w:p>
      <w:pPr>
        <w:pStyle w:val="Bibliography"/>
      </w:pPr>
      <w:r>
        <w:t xml:space="preserve">United Nations Statistics Division. (2024).</w:t>
      </w:r>
      <w:r>
        <w:t xml:space="preserve"> </w:t>
      </w:r>
      <w:r>
        <w:rPr>
          <w:i/>
          <w:iCs/>
        </w:rPr>
        <w:t xml:space="preserve">National Accounts Main Aggregates Database: GDP and its breakdown at current prices</w:t>
      </w:r>
      <w:r>
        <w:t xml:space="preserve">. UNSD AMA API.</w:t>
      </w:r>
    </w:p>
    <w:bookmarkEnd w:id="83"/>
    <w:bookmarkStart w:id="84" w:name="ref-yaya2018"/>
    <w:p>
      <w:pPr>
        <w:pStyle w:val="Bibliography"/>
      </w:pPr>
      <w:r>
        <w:t xml:space="preserve">Yaya, K., Kéita, S., &amp; Coulibaly, S. (2018). Trade openness and economic growth: Evidence from developing countries.</w:t>
      </w:r>
      <w:r>
        <w:t xml:space="preserve"> </w:t>
      </w:r>
      <w:r>
        <w:rPr>
          <w:i/>
          <w:iCs/>
        </w:rPr>
        <w:t xml:space="preserve">Cogent Economics &amp; Finance</w:t>
      </w:r>
      <w:r>
        <w:t xml:space="preserve">,</w:t>
      </w:r>
      <w:r>
        <w:t xml:space="preserve"> </w:t>
      </w:r>
      <w:r>
        <w:rPr>
          <w:i/>
          <w:iCs/>
        </w:rPr>
        <w:t xml:space="preserve">6</w:t>
      </w:r>
      <w:r>
        <w:t xml:space="preserve">(1).</w:t>
      </w:r>
    </w:p>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hyperlink" Id="rId52" Target="https://doi.org/10.1007/s10887-006-9009-4" TargetMode="External" /><Relationship Type="http://schemas.openxmlformats.org/officeDocument/2006/relationships/hyperlink" Id="rId42" Target="https://doi.org/10.1016/0377-2217(78)90138-8" TargetMode="External" /><Relationship Type="http://schemas.openxmlformats.org/officeDocument/2006/relationships/hyperlink" Id="rId50" Target="https://doi.org/10.1016/S0014-2921(01)00127-1" TargetMode="External" /><Relationship Type="http://schemas.openxmlformats.org/officeDocument/2006/relationships/hyperlink" Id="rId30" Target="https://doi.org/10.1016/j.eneco.2016.11.005" TargetMode="External" /><Relationship Type="http://schemas.openxmlformats.org/officeDocument/2006/relationships/hyperlink" Id="rId80" Target="https://doi.org/10.1016/j.jeconom.2005.07.009" TargetMode="External" /><Relationship Type="http://schemas.openxmlformats.org/officeDocument/2006/relationships/hyperlink" Id="rId56" Target="https://doi.org/10.1073/pnas.0900943106" TargetMode="External" /><Relationship Type="http://schemas.openxmlformats.org/officeDocument/2006/relationships/hyperlink" Id="rId76" Target="https://doi.org/10.1108/REPS-07-2021-0075" TargetMode="External" /><Relationship Type="http://schemas.openxmlformats.org/officeDocument/2006/relationships/hyperlink" Id="rId66" Target="https://doi.org/10.1111/j.1467-9957.1954.tb00021.x" TargetMode="External" /><Relationship Type="http://schemas.openxmlformats.org/officeDocument/2006/relationships/hyperlink" Id="rId40" Target="https://doi.org/10.1162/REST_a_00078" TargetMode="External" /><Relationship Type="http://schemas.openxmlformats.org/officeDocument/2006/relationships/hyperlink" Id="rId60" Target="https://doi.org/10.1257/000282803321455160" TargetMode="External" /><Relationship Type="http://schemas.openxmlformats.org/officeDocument/2006/relationships/hyperlink" Id="rId36" Target="https://doi.org/10.1287/mnsc.30.9.1078" TargetMode="External" /><Relationship Type="http://schemas.openxmlformats.org/officeDocument/2006/relationships/hyperlink" Id="rId78" Target="https://doi.org/10.1287/mnsc.44.1.49" TargetMode="External" /><Relationship Type="http://schemas.openxmlformats.org/officeDocument/2006/relationships/hyperlink" Id="rId46" Target="https://doi.org/10.2307/2343100" TargetMode="External" /><Relationship Type="http://schemas.openxmlformats.org/officeDocument/2006/relationships/hyperlink" Id="rId72" Target="https://doi.org/10.3386/w5398" TargetMode="External" /></Relationships>
</file>

<file path=word/_rels/footnotes.xml.rels><?xml version="1.0" encoding="UTF-8"?><Relationships xmlns="http://schemas.openxmlformats.org/package/2006/relationships"><Relationship Type="http://schemas.openxmlformats.org/officeDocument/2006/relationships/hyperlink" Id="rId52" Target="https://doi.org/10.1007/s10887-006-9009-4" TargetMode="External" /><Relationship Type="http://schemas.openxmlformats.org/officeDocument/2006/relationships/hyperlink" Id="rId42" Target="https://doi.org/10.1016/0377-2217(78)90138-8" TargetMode="External" /><Relationship Type="http://schemas.openxmlformats.org/officeDocument/2006/relationships/hyperlink" Id="rId50" Target="https://doi.org/10.1016/S0014-2921(01)00127-1" TargetMode="External" /><Relationship Type="http://schemas.openxmlformats.org/officeDocument/2006/relationships/hyperlink" Id="rId30" Target="https://doi.org/10.1016/j.eneco.2016.11.005" TargetMode="External" /><Relationship Type="http://schemas.openxmlformats.org/officeDocument/2006/relationships/hyperlink" Id="rId80" Target="https://doi.org/10.1016/j.jeconom.2005.07.009" TargetMode="External" /><Relationship Type="http://schemas.openxmlformats.org/officeDocument/2006/relationships/hyperlink" Id="rId56" Target="https://doi.org/10.1073/pnas.0900943106" TargetMode="External" /><Relationship Type="http://schemas.openxmlformats.org/officeDocument/2006/relationships/hyperlink" Id="rId76" Target="https://doi.org/10.1108/REPS-07-2021-0075" TargetMode="External" /><Relationship Type="http://schemas.openxmlformats.org/officeDocument/2006/relationships/hyperlink" Id="rId66" Target="https://doi.org/10.1111/j.1467-9957.1954.tb00021.x" TargetMode="External" /><Relationship Type="http://schemas.openxmlformats.org/officeDocument/2006/relationships/hyperlink" Id="rId40" Target="https://doi.org/10.1162/REST_a_00078" TargetMode="External" /><Relationship Type="http://schemas.openxmlformats.org/officeDocument/2006/relationships/hyperlink" Id="rId60" Target="https://doi.org/10.1257/000282803321455160" TargetMode="External" /><Relationship Type="http://schemas.openxmlformats.org/officeDocument/2006/relationships/hyperlink" Id="rId36" Target="https://doi.org/10.1287/mnsc.30.9.1078" TargetMode="External" /><Relationship Type="http://schemas.openxmlformats.org/officeDocument/2006/relationships/hyperlink" Id="rId78" Target="https://doi.org/10.1287/mnsc.44.1.49" TargetMode="External" /><Relationship Type="http://schemas.openxmlformats.org/officeDocument/2006/relationships/hyperlink" Id="rId46" Target="https://doi.org/10.2307/2343100" TargetMode="External" /><Relationship Type="http://schemas.openxmlformats.org/officeDocument/2006/relationships/hyperlink" Id="rId72" Target="https://doi.org/10.3386/w53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Diversificación sectorial y eficiencia productiva en Ecuador, 2000–2024</dc:title>
  <dc:creator>Econ. Vinicio Arcos</dc:creator>
  <dc:language>es</dc:language>
  <cp:keywords>diversificación sectorial, índice Herfindahl-Hirschman, análisis envolvente de datos, bootstrap Simar-Wilson, Ecuador, eficiencia técnica</cp:keywords>
  <dcterms:created xsi:type="dcterms:W3CDTF">2026-06-17T22:44:31Z</dcterms:created>
  <dcterms:modified xsi:type="dcterms:W3CDTF">2026-06-17T22:44:31Z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 dependencia de recursos primarios y la escasa transformación estructural son rasgos persistentes de la economía ecuatoriana. Este trabajo replica y extiende el enfoque de Siddiqui y Afzal (2022) para los Emiratos Árabes Unidos aplicándolo a Ecuador en el periodo 2000–2024. Primero, se mide la concentración sectorial con el índice Herfindahl–Hirschman (HHI) sobre el Valor Agregado Bruto de siete ramas ISIC de la base de Cuentas Nacionales de la UNSD. Segundo, se evalúa la eficiencia técnica con un modelo de análisis envolvente de datos (DEA) CCR orientado a insumos, especificado como una frontera de producción genuina —trabajo (empleo) y capital (formación bruta de capital fijo) como insumos independientes que generan valor agregado— con la unidad de decisión definida como el par sector-año. Tercero, se cuantifica la incertidumbre y se corrige el sesgo al alza de las eficiencias DEA mediante el bootstrap homogéneo de Simar y Wilson (1998). Los resultados muestran una economía moderadamente diversificada cuyo HHI aumentó de 0,182 en 2000 a 0,214 en 2024, con una concentración creciente entre 2015 y 2020, y una eficiencia técnica heterogénea entre ramas: construcción y minería-utilities operan cerca de la frontera, mientras que agricultura y transporte-comunicación quedan rezagadas. La corrección por sesgo confirma el sesgo determinista del DEA y delimita comparaciones robustas. Se discuten implicaciones de política para la transformación productiva.</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2026-06-17</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Una evaluación con el índice Herfindahl–Hirschman y análisis envolvente de datos con inferencia bootstrap</vt:lpwstr>
  </property>
  <property fmtid="{D5CDD505-2E9C-101B-9397-08002B2CF9AE}" pid="18" name="toc-title">
    <vt:lpwstr>Tabla de contenidos</vt:lpwstr>
  </property>
</Properties>
</file>