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97E6A" w14:textId="77777777" w:rsidR="00321430" w:rsidRPr="00321430" w:rsidRDefault="00321430" w:rsidP="00321430">
      <w:pPr>
        <w:rPr>
          <w:b/>
          <w:bCs/>
        </w:rPr>
      </w:pPr>
      <w:r w:rsidRPr="00321430">
        <w:rPr>
          <w:b/>
          <w:bCs/>
        </w:rPr>
        <w:t>Enhancing Azure Certification Preparation through Microlearning and Spaced Repetition: An Analysis of a Multi-Language Self-Assessment Tool</w:t>
      </w:r>
    </w:p>
    <w:p w14:paraId="385392C2" w14:textId="77777777" w:rsidR="00321430" w:rsidRPr="00321430" w:rsidRDefault="00321430" w:rsidP="00321430">
      <w:pPr>
        <w:rPr>
          <w:b/>
          <w:bCs/>
        </w:rPr>
      </w:pPr>
      <w:r w:rsidRPr="00321430">
        <w:rPr>
          <w:b/>
          <w:bCs/>
        </w:rPr>
        <w:t>Abstract</w:t>
      </w:r>
    </w:p>
    <w:p w14:paraId="7931E5AE" w14:textId="77777777" w:rsidR="00321430" w:rsidRPr="00321430" w:rsidRDefault="00321430" w:rsidP="00321430">
      <w:r w:rsidRPr="00321430">
        <w:t>This paper presents an innovative approach to Azure certification preparation through the implementation of a practice simulator that leverages microlearning, spaced repetition, and neurolinguistic programming (NLP) tactics. The simulator, designed to support multiple languages, aims to optimize the learning curve and mitigate the effects of the forgetting curve. We analyze the effectiveness of the tool's key features, including its multi-language support through tokenization and translation, and its categorization of questions into three key areas evaluated in Azure certification exams. The results demonstrate significant improvements in knowledge retention and exam readiness among users.</w:t>
      </w:r>
    </w:p>
    <w:p w14:paraId="0A452FD0" w14:textId="77777777" w:rsidR="00321430" w:rsidRPr="00321430" w:rsidRDefault="00321430" w:rsidP="00321430">
      <w:pPr>
        <w:rPr>
          <w:b/>
          <w:bCs/>
        </w:rPr>
      </w:pPr>
      <w:r w:rsidRPr="00321430">
        <w:rPr>
          <w:b/>
          <w:bCs/>
        </w:rPr>
        <w:t>I. Introduction</w:t>
      </w:r>
    </w:p>
    <w:p w14:paraId="1B47EBBF" w14:textId="77777777" w:rsidR="00321430" w:rsidRPr="00321430" w:rsidRDefault="00321430" w:rsidP="00321430">
      <w:r w:rsidRPr="00321430">
        <w:t>As cloud technologies continue to evolve, the demand for certified Azure professionals has grown exponentially. However, traditional learning methods often fall short in preparing candidates for the rigorous certification exams. This paper introduces a novel Azure Certification Practice Simulator that addresses these challenges by incorporating cognitive science principles and advanced natural language processing techniques.</w:t>
      </w:r>
    </w:p>
    <w:p w14:paraId="312BC62B" w14:textId="77777777" w:rsidR="00321430" w:rsidRPr="00321430" w:rsidRDefault="00321430" w:rsidP="00321430">
      <w:pPr>
        <w:rPr>
          <w:b/>
          <w:bCs/>
        </w:rPr>
      </w:pPr>
      <w:r w:rsidRPr="00321430">
        <w:rPr>
          <w:b/>
          <w:bCs/>
        </w:rPr>
        <w:t>II. Methodology</w:t>
      </w:r>
    </w:p>
    <w:p w14:paraId="775E39E8" w14:textId="77777777" w:rsidR="00321430" w:rsidRPr="00321430" w:rsidRDefault="00321430" w:rsidP="00321430">
      <w:pPr>
        <w:rPr>
          <w:b/>
          <w:bCs/>
        </w:rPr>
      </w:pPr>
      <w:r w:rsidRPr="00321430">
        <w:rPr>
          <w:b/>
          <w:bCs/>
        </w:rPr>
        <w:t>A. Microlearning and Spaced Repetition</w:t>
      </w:r>
    </w:p>
    <w:p w14:paraId="74E074C3" w14:textId="77777777" w:rsidR="00321430" w:rsidRPr="00321430" w:rsidRDefault="00321430" w:rsidP="00321430">
      <w:r w:rsidRPr="00321430">
        <w:t>The simulator implements microlearning by breaking down complex Azure concepts into manageable question-and-answer sessions. Spaced repetition is achieved through the randomization of questions and the ability to retake the practice exams multiple times.</w:t>
      </w:r>
    </w:p>
    <w:p w14:paraId="61EC43DD" w14:textId="77777777" w:rsidR="00321430" w:rsidRPr="00321430" w:rsidRDefault="00321430" w:rsidP="00321430">
      <w:pPr>
        <w:rPr>
          <w:b/>
          <w:bCs/>
        </w:rPr>
      </w:pPr>
      <w:r w:rsidRPr="00321430">
        <w:rPr>
          <w:b/>
          <w:bCs/>
        </w:rPr>
        <w:t>B. Neurolinguistic Programming Tactics</w:t>
      </w:r>
    </w:p>
    <w:p w14:paraId="3FF46C32" w14:textId="77777777" w:rsidR="00321430" w:rsidRDefault="00321430" w:rsidP="00321430">
      <w:r w:rsidRPr="00321430">
        <w:t>The simulator incorporates NLP tactics by presenting information in various formats (text, color-coded feedback) and allowing users to choose their preferred language, catering to different learning styles.</w:t>
      </w:r>
    </w:p>
    <w:p w14:paraId="3F6E3DCB" w14:textId="77777777" w:rsidR="00321430" w:rsidRDefault="00321430" w:rsidP="00321430"/>
    <w:p w14:paraId="1796BA5A" w14:textId="77777777" w:rsidR="00321430" w:rsidRDefault="00321430" w:rsidP="00321430"/>
    <w:p w14:paraId="69D1159D" w14:textId="77777777" w:rsidR="00321430" w:rsidRDefault="00321430" w:rsidP="00321430"/>
    <w:p w14:paraId="7D8B9ACC" w14:textId="77777777" w:rsidR="00321430" w:rsidRDefault="00321430" w:rsidP="00321430"/>
    <w:p w14:paraId="7B317F72" w14:textId="77777777" w:rsidR="00321430" w:rsidRPr="00321430" w:rsidRDefault="00321430" w:rsidP="00321430"/>
    <w:p w14:paraId="1EE79E1F" w14:textId="77777777" w:rsidR="00321430" w:rsidRPr="00321430" w:rsidRDefault="00321430" w:rsidP="00321430">
      <w:pPr>
        <w:rPr>
          <w:b/>
          <w:bCs/>
        </w:rPr>
      </w:pPr>
      <w:r w:rsidRPr="00321430">
        <w:rPr>
          <w:b/>
          <w:bCs/>
        </w:rPr>
        <w:lastRenderedPageBreak/>
        <w:t>C. Multi-Language Support</w:t>
      </w:r>
    </w:p>
    <w:p w14:paraId="36A9CA94" w14:textId="77777777" w:rsidR="00321430" w:rsidRPr="00321430" w:rsidRDefault="00321430" w:rsidP="00321430">
      <w:r w:rsidRPr="00321430">
        <w:t>The tool utilizes the NLTK library for tokenization and the Google Translate API for translation, enabling support for multiple languages:</w:t>
      </w:r>
    </w:p>
    <w:tbl>
      <w:tblPr>
        <w:tblStyle w:val="TableGrid"/>
        <w:tblW w:w="0" w:type="auto"/>
        <w:tblLook w:val="04A0" w:firstRow="1" w:lastRow="0" w:firstColumn="1" w:lastColumn="0" w:noHBand="0" w:noVBand="1"/>
      </w:tblPr>
      <w:tblGrid>
        <w:gridCol w:w="9350"/>
      </w:tblGrid>
      <w:tr w:rsidR="00321430" w14:paraId="7992F439" w14:textId="77777777" w:rsidTr="00321430">
        <w:tc>
          <w:tcPr>
            <w:tcW w:w="9350" w:type="dxa"/>
          </w:tcPr>
          <w:p w14:paraId="43375BAB" w14:textId="77777777"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def </w:t>
            </w:r>
            <w:proofErr w:type="spellStart"/>
            <w:r w:rsidRPr="00321430">
              <w:rPr>
                <w:rFonts w:ascii="Consolas" w:hAnsi="Consolas"/>
                <w:sz w:val="16"/>
                <w:szCs w:val="16"/>
              </w:rPr>
              <w:t>tokenize_and_</w:t>
            </w:r>
            <w:proofErr w:type="gramStart"/>
            <w:r w:rsidRPr="00321430">
              <w:rPr>
                <w:rFonts w:ascii="Consolas" w:hAnsi="Consolas"/>
                <w:sz w:val="16"/>
                <w:szCs w:val="16"/>
              </w:rPr>
              <w:t>translate</w:t>
            </w:r>
            <w:proofErr w:type="spellEnd"/>
            <w:r w:rsidRPr="00321430">
              <w:rPr>
                <w:rFonts w:ascii="Consolas" w:hAnsi="Consolas"/>
                <w:sz w:val="16"/>
                <w:szCs w:val="16"/>
              </w:rPr>
              <w:t>(</w:t>
            </w:r>
            <w:proofErr w:type="gramEnd"/>
            <w:r w:rsidRPr="00321430">
              <w:rPr>
                <w:rFonts w:ascii="Consolas" w:hAnsi="Consolas"/>
                <w:sz w:val="16"/>
                <w:szCs w:val="16"/>
              </w:rPr>
              <w:t>self, text):</w:t>
            </w:r>
          </w:p>
          <w:p w14:paraId="3DC475B4" w14:textId="77777777"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    tokens = </w:t>
            </w:r>
            <w:proofErr w:type="spellStart"/>
            <w:r w:rsidRPr="00321430">
              <w:rPr>
                <w:rFonts w:ascii="Consolas" w:hAnsi="Consolas"/>
                <w:sz w:val="16"/>
                <w:szCs w:val="16"/>
              </w:rPr>
              <w:t>word_tokenize</w:t>
            </w:r>
            <w:proofErr w:type="spellEnd"/>
            <w:r w:rsidRPr="00321430">
              <w:rPr>
                <w:rFonts w:ascii="Consolas" w:hAnsi="Consolas"/>
                <w:sz w:val="16"/>
                <w:szCs w:val="16"/>
              </w:rPr>
              <w:t>(text)</w:t>
            </w:r>
          </w:p>
          <w:p w14:paraId="34E45847" w14:textId="77777777"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    </w:t>
            </w:r>
            <w:proofErr w:type="spellStart"/>
            <w:r w:rsidRPr="00321430">
              <w:rPr>
                <w:rFonts w:ascii="Consolas" w:hAnsi="Consolas"/>
                <w:sz w:val="16"/>
                <w:szCs w:val="16"/>
              </w:rPr>
              <w:t>translated_tokens</w:t>
            </w:r>
            <w:proofErr w:type="spellEnd"/>
            <w:r w:rsidRPr="00321430">
              <w:rPr>
                <w:rFonts w:ascii="Consolas" w:hAnsi="Consolas"/>
                <w:sz w:val="16"/>
                <w:szCs w:val="16"/>
              </w:rPr>
              <w:t xml:space="preserve"> = [</w:t>
            </w:r>
            <w:proofErr w:type="spellStart"/>
            <w:proofErr w:type="gramStart"/>
            <w:r w:rsidRPr="00321430">
              <w:rPr>
                <w:rFonts w:ascii="Consolas" w:hAnsi="Consolas"/>
                <w:sz w:val="16"/>
                <w:szCs w:val="16"/>
              </w:rPr>
              <w:t>self.translator</w:t>
            </w:r>
            <w:proofErr w:type="gramEnd"/>
            <w:r w:rsidRPr="00321430">
              <w:rPr>
                <w:rFonts w:ascii="Consolas" w:hAnsi="Consolas"/>
                <w:sz w:val="16"/>
                <w:szCs w:val="16"/>
              </w:rPr>
              <w:t>.translate</w:t>
            </w:r>
            <w:proofErr w:type="spellEnd"/>
            <w:r w:rsidRPr="00321430">
              <w:rPr>
                <w:rFonts w:ascii="Consolas" w:hAnsi="Consolas"/>
                <w:sz w:val="16"/>
                <w:szCs w:val="16"/>
              </w:rPr>
              <w:t>(token) for token in tokens]</w:t>
            </w:r>
          </w:p>
          <w:p w14:paraId="30E26D97" w14:textId="3129944C"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    return ' </w:t>
            </w:r>
            <w:proofErr w:type="gramStart"/>
            <w:r w:rsidRPr="00321430">
              <w:rPr>
                <w:rFonts w:ascii="Consolas" w:hAnsi="Consolas"/>
                <w:sz w:val="16"/>
                <w:szCs w:val="16"/>
              </w:rPr>
              <w:t>'.join</w:t>
            </w:r>
            <w:proofErr w:type="gramEnd"/>
            <w:r w:rsidRPr="00321430">
              <w:rPr>
                <w:rFonts w:ascii="Consolas" w:hAnsi="Consolas"/>
                <w:sz w:val="16"/>
                <w:szCs w:val="16"/>
              </w:rPr>
              <w:t>(</w:t>
            </w:r>
            <w:proofErr w:type="spellStart"/>
            <w:r w:rsidRPr="00321430">
              <w:rPr>
                <w:rFonts w:ascii="Consolas" w:hAnsi="Consolas"/>
                <w:sz w:val="16"/>
                <w:szCs w:val="16"/>
              </w:rPr>
              <w:t>translated_tokens</w:t>
            </w:r>
            <w:proofErr w:type="spellEnd"/>
            <w:r w:rsidRPr="00321430">
              <w:rPr>
                <w:rFonts w:ascii="Consolas" w:hAnsi="Consolas"/>
                <w:sz w:val="16"/>
                <w:szCs w:val="16"/>
              </w:rPr>
              <w:t>)</w:t>
            </w:r>
          </w:p>
        </w:tc>
      </w:tr>
    </w:tbl>
    <w:p w14:paraId="057D518F" w14:textId="77777777" w:rsidR="00321430" w:rsidRDefault="00321430" w:rsidP="00321430"/>
    <w:p w14:paraId="25D6F9BC" w14:textId="77777777" w:rsidR="00321430" w:rsidRDefault="00321430" w:rsidP="00321430">
      <w:pPr>
        <w:rPr>
          <w:b/>
          <w:bCs/>
        </w:rPr>
      </w:pPr>
    </w:p>
    <w:p w14:paraId="2EE5DFD6" w14:textId="604A84D6" w:rsidR="00321430" w:rsidRPr="00321430" w:rsidRDefault="00321430" w:rsidP="00321430">
      <w:pPr>
        <w:rPr>
          <w:b/>
          <w:bCs/>
        </w:rPr>
      </w:pPr>
      <w:r w:rsidRPr="00321430">
        <w:rPr>
          <w:b/>
          <w:bCs/>
        </w:rPr>
        <w:t>D. Question Categorization</w:t>
      </w:r>
    </w:p>
    <w:p w14:paraId="43C8E537" w14:textId="77777777" w:rsidR="00321430" w:rsidRDefault="00321430" w:rsidP="00321430">
      <w:r w:rsidRPr="00321430">
        <w:t>Questions are categorized into three key areas using natural language processing techniques:</w:t>
      </w:r>
    </w:p>
    <w:tbl>
      <w:tblPr>
        <w:tblStyle w:val="TableGrid"/>
        <w:tblW w:w="0" w:type="auto"/>
        <w:tblLook w:val="04A0" w:firstRow="1" w:lastRow="0" w:firstColumn="1" w:lastColumn="0" w:noHBand="0" w:noVBand="1"/>
      </w:tblPr>
      <w:tblGrid>
        <w:gridCol w:w="9350"/>
      </w:tblGrid>
      <w:tr w:rsidR="00321430" w14:paraId="4B5EE901" w14:textId="77777777" w:rsidTr="00321430">
        <w:tc>
          <w:tcPr>
            <w:tcW w:w="9350" w:type="dxa"/>
          </w:tcPr>
          <w:p w14:paraId="5DA24879" w14:textId="77777777"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def </w:t>
            </w:r>
            <w:proofErr w:type="spellStart"/>
            <w:r w:rsidRPr="00321430">
              <w:rPr>
                <w:rFonts w:ascii="Consolas" w:hAnsi="Consolas"/>
                <w:sz w:val="16"/>
                <w:szCs w:val="16"/>
              </w:rPr>
              <w:t>categorize_question</w:t>
            </w:r>
            <w:proofErr w:type="spellEnd"/>
            <w:r w:rsidRPr="00321430">
              <w:rPr>
                <w:rFonts w:ascii="Consolas" w:hAnsi="Consolas"/>
                <w:sz w:val="16"/>
                <w:szCs w:val="16"/>
              </w:rPr>
              <w:t>(self):</w:t>
            </w:r>
          </w:p>
          <w:p w14:paraId="35C32778" w14:textId="77777777"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    doc = </w:t>
            </w:r>
            <w:proofErr w:type="spellStart"/>
            <w:r w:rsidRPr="00321430">
              <w:rPr>
                <w:rFonts w:ascii="Consolas" w:hAnsi="Consolas"/>
                <w:sz w:val="16"/>
                <w:szCs w:val="16"/>
              </w:rPr>
              <w:t>nlp</w:t>
            </w:r>
            <w:proofErr w:type="spellEnd"/>
            <w:r w:rsidRPr="00321430">
              <w:rPr>
                <w:rFonts w:ascii="Consolas" w:hAnsi="Consolas"/>
                <w:sz w:val="16"/>
                <w:szCs w:val="16"/>
              </w:rPr>
              <w:t>(</w:t>
            </w:r>
            <w:proofErr w:type="spellStart"/>
            <w:proofErr w:type="gramStart"/>
            <w:r w:rsidRPr="00321430">
              <w:rPr>
                <w:rFonts w:ascii="Consolas" w:hAnsi="Consolas"/>
                <w:sz w:val="16"/>
                <w:szCs w:val="16"/>
              </w:rPr>
              <w:t>self.question</w:t>
            </w:r>
            <w:proofErr w:type="gramEnd"/>
            <w:r w:rsidRPr="00321430">
              <w:rPr>
                <w:rFonts w:ascii="Consolas" w:hAnsi="Consolas"/>
                <w:sz w:val="16"/>
                <w:szCs w:val="16"/>
              </w:rPr>
              <w:t>.lower</w:t>
            </w:r>
            <w:proofErr w:type="spellEnd"/>
            <w:r w:rsidRPr="00321430">
              <w:rPr>
                <w:rFonts w:ascii="Consolas" w:hAnsi="Consolas"/>
                <w:sz w:val="16"/>
                <w:szCs w:val="16"/>
              </w:rPr>
              <w:t>())</w:t>
            </w:r>
          </w:p>
          <w:p w14:paraId="1ACDF472" w14:textId="77777777"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    </w:t>
            </w:r>
            <w:proofErr w:type="spellStart"/>
            <w:r w:rsidRPr="00321430">
              <w:rPr>
                <w:rFonts w:ascii="Consolas" w:hAnsi="Consolas"/>
                <w:sz w:val="16"/>
                <w:szCs w:val="16"/>
              </w:rPr>
              <w:t>cloud_count</w:t>
            </w:r>
            <w:proofErr w:type="spellEnd"/>
            <w:r w:rsidRPr="00321430">
              <w:rPr>
                <w:rFonts w:ascii="Consolas" w:hAnsi="Consolas"/>
                <w:sz w:val="16"/>
                <w:szCs w:val="16"/>
              </w:rPr>
              <w:t xml:space="preserve"> = </w:t>
            </w:r>
            <w:proofErr w:type="gramStart"/>
            <w:r w:rsidRPr="00321430">
              <w:rPr>
                <w:rFonts w:ascii="Consolas" w:hAnsi="Consolas"/>
                <w:sz w:val="16"/>
                <w:szCs w:val="16"/>
              </w:rPr>
              <w:t>sum(</w:t>
            </w:r>
            <w:proofErr w:type="gramEnd"/>
            <w:r w:rsidRPr="00321430">
              <w:rPr>
                <w:rFonts w:ascii="Consolas" w:hAnsi="Consolas"/>
                <w:sz w:val="16"/>
                <w:szCs w:val="16"/>
              </w:rPr>
              <w:t xml:space="preserve">1 for token in doc if any(keyword in </w:t>
            </w:r>
            <w:proofErr w:type="spellStart"/>
            <w:r w:rsidRPr="00321430">
              <w:rPr>
                <w:rFonts w:ascii="Consolas" w:hAnsi="Consolas"/>
                <w:sz w:val="16"/>
                <w:szCs w:val="16"/>
              </w:rPr>
              <w:t>token.text</w:t>
            </w:r>
            <w:proofErr w:type="spellEnd"/>
            <w:r w:rsidRPr="00321430">
              <w:rPr>
                <w:rFonts w:ascii="Consolas" w:hAnsi="Consolas"/>
                <w:sz w:val="16"/>
                <w:szCs w:val="16"/>
              </w:rPr>
              <w:t xml:space="preserve"> for keyword in </w:t>
            </w:r>
            <w:proofErr w:type="spellStart"/>
            <w:r w:rsidRPr="00321430">
              <w:rPr>
                <w:rFonts w:ascii="Consolas" w:hAnsi="Consolas"/>
                <w:sz w:val="16"/>
                <w:szCs w:val="16"/>
              </w:rPr>
              <w:t>cloud_concepts_keywords</w:t>
            </w:r>
            <w:proofErr w:type="spellEnd"/>
            <w:r w:rsidRPr="00321430">
              <w:rPr>
                <w:rFonts w:ascii="Consolas" w:hAnsi="Consolas"/>
                <w:sz w:val="16"/>
                <w:szCs w:val="16"/>
              </w:rPr>
              <w:t>))</w:t>
            </w:r>
          </w:p>
          <w:p w14:paraId="6A2788B0" w14:textId="77777777"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    </w:t>
            </w:r>
            <w:proofErr w:type="spellStart"/>
            <w:r w:rsidRPr="00321430">
              <w:rPr>
                <w:rFonts w:ascii="Consolas" w:hAnsi="Consolas"/>
                <w:sz w:val="16"/>
                <w:szCs w:val="16"/>
              </w:rPr>
              <w:t>architecture_count</w:t>
            </w:r>
            <w:proofErr w:type="spellEnd"/>
            <w:r w:rsidRPr="00321430">
              <w:rPr>
                <w:rFonts w:ascii="Consolas" w:hAnsi="Consolas"/>
                <w:sz w:val="16"/>
                <w:szCs w:val="16"/>
              </w:rPr>
              <w:t xml:space="preserve"> = </w:t>
            </w:r>
            <w:proofErr w:type="gramStart"/>
            <w:r w:rsidRPr="00321430">
              <w:rPr>
                <w:rFonts w:ascii="Consolas" w:hAnsi="Consolas"/>
                <w:sz w:val="16"/>
                <w:szCs w:val="16"/>
              </w:rPr>
              <w:t>sum(</w:t>
            </w:r>
            <w:proofErr w:type="gramEnd"/>
            <w:r w:rsidRPr="00321430">
              <w:rPr>
                <w:rFonts w:ascii="Consolas" w:hAnsi="Consolas"/>
                <w:sz w:val="16"/>
                <w:szCs w:val="16"/>
              </w:rPr>
              <w:t xml:space="preserve">1 for token in doc if any(keyword in </w:t>
            </w:r>
            <w:proofErr w:type="spellStart"/>
            <w:r w:rsidRPr="00321430">
              <w:rPr>
                <w:rFonts w:ascii="Consolas" w:hAnsi="Consolas"/>
                <w:sz w:val="16"/>
                <w:szCs w:val="16"/>
              </w:rPr>
              <w:t>token.text</w:t>
            </w:r>
            <w:proofErr w:type="spellEnd"/>
            <w:r w:rsidRPr="00321430">
              <w:rPr>
                <w:rFonts w:ascii="Consolas" w:hAnsi="Consolas"/>
                <w:sz w:val="16"/>
                <w:szCs w:val="16"/>
              </w:rPr>
              <w:t xml:space="preserve"> for keyword in </w:t>
            </w:r>
            <w:proofErr w:type="spellStart"/>
            <w:r w:rsidRPr="00321430">
              <w:rPr>
                <w:rFonts w:ascii="Consolas" w:hAnsi="Consolas"/>
                <w:sz w:val="16"/>
                <w:szCs w:val="16"/>
              </w:rPr>
              <w:t>azure_architecture_keywords</w:t>
            </w:r>
            <w:proofErr w:type="spellEnd"/>
            <w:r w:rsidRPr="00321430">
              <w:rPr>
                <w:rFonts w:ascii="Consolas" w:hAnsi="Consolas"/>
                <w:sz w:val="16"/>
                <w:szCs w:val="16"/>
              </w:rPr>
              <w:t>))</w:t>
            </w:r>
          </w:p>
          <w:p w14:paraId="09B3A886" w14:textId="77777777"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    </w:t>
            </w:r>
            <w:proofErr w:type="spellStart"/>
            <w:r w:rsidRPr="00321430">
              <w:rPr>
                <w:rFonts w:ascii="Consolas" w:hAnsi="Consolas"/>
                <w:sz w:val="16"/>
                <w:szCs w:val="16"/>
              </w:rPr>
              <w:t>management_count</w:t>
            </w:r>
            <w:proofErr w:type="spellEnd"/>
            <w:r w:rsidRPr="00321430">
              <w:rPr>
                <w:rFonts w:ascii="Consolas" w:hAnsi="Consolas"/>
                <w:sz w:val="16"/>
                <w:szCs w:val="16"/>
              </w:rPr>
              <w:t xml:space="preserve"> = </w:t>
            </w:r>
            <w:proofErr w:type="gramStart"/>
            <w:r w:rsidRPr="00321430">
              <w:rPr>
                <w:rFonts w:ascii="Consolas" w:hAnsi="Consolas"/>
                <w:sz w:val="16"/>
                <w:szCs w:val="16"/>
              </w:rPr>
              <w:t>sum(</w:t>
            </w:r>
            <w:proofErr w:type="gramEnd"/>
            <w:r w:rsidRPr="00321430">
              <w:rPr>
                <w:rFonts w:ascii="Consolas" w:hAnsi="Consolas"/>
                <w:sz w:val="16"/>
                <w:szCs w:val="16"/>
              </w:rPr>
              <w:t xml:space="preserve">1 for token in doc if any(keyword in </w:t>
            </w:r>
            <w:proofErr w:type="spellStart"/>
            <w:r w:rsidRPr="00321430">
              <w:rPr>
                <w:rFonts w:ascii="Consolas" w:hAnsi="Consolas"/>
                <w:sz w:val="16"/>
                <w:szCs w:val="16"/>
              </w:rPr>
              <w:t>token.text</w:t>
            </w:r>
            <w:proofErr w:type="spellEnd"/>
            <w:r w:rsidRPr="00321430">
              <w:rPr>
                <w:rFonts w:ascii="Consolas" w:hAnsi="Consolas"/>
                <w:sz w:val="16"/>
                <w:szCs w:val="16"/>
              </w:rPr>
              <w:t xml:space="preserve"> for keyword in </w:t>
            </w:r>
            <w:proofErr w:type="spellStart"/>
            <w:r w:rsidRPr="00321430">
              <w:rPr>
                <w:rFonts w:ascii="Consolas" w:hAnsi="Consolas"/>
                <w:sz w:val="16"/>
                <w:szCs w:val="16"/>
              </w:rPr>
              <w:t>azure_management_keywords</w:t>
            </w:r>
            <w:proofErr w:type="spellEnd"/>
            <w:r w:rsidRPr="00321430">
              <w:rPr>
                <w:rFonts w:ascii="Consolas" w:hAnsi="Consolas"/>
                <w:sz w:val="16"/>
                <w:szCs w:val="16"/>
              </w:rPr>
              <w:t>))</w:t>
            </w:r>
          </w:p>
          <w:p w14:paraId="1AF886FA" w14:textId="6D88B747" w:rsidR="00321430" w:rsidRPr="00321430" w:rsidRDefault="00321430" w:rsidP="00321430">
            <w:pPr>
              <w:spacing w:after="160" w:line="278" w:lineRule="auto"/>
              <w:rPr>
                <w:rFonts w:ascii="Consolas" w:hAnsi="Consolas"/>
                <w:sz w:val="16"/>
                <w:szCs w:val="16"/>
              </w:rPr>
            </w:pPr>
            <w:r w:rsidRPr="00321430">
              <w:rPr>
                <w:rFonts w:ascii="Consolas" w:hAnsi="Consolas"/>
                <w:sz w:val="16"/>
                <w:szCs w:val="16"/>
              </w:rPr>
              <w:t xml:space="preserve">    </w:t>
            </w:r>
            <w:r w:rsidRPr="00321430">
              <w:rPr>
                <w:rFonts w:ascii="Consolas" w:hAnsi="Consolas"/>
                <w:i/>
                <w:iCs/>
                <w:sz w:val="16"/>
                <w:szCs w:val="16"/>
              </w:rPr>
              <w:t># ... determine category based on counts</w:t>
            </w:r>
          </w:p>
        </w:tc>
      </w:tr>
    </w:tbl>
    <w:p w14:paraId="6E3DC045" w14:textId="77777777" w:rsidR="00321430" w:rsidRPr="00321430" w:rsidRDefault="00321430" w:rsidP="00321430"/>
    <w:p w14:paraId="381DB6FC" w14:textId="77777777" w:rsidR="00321430" w:rsidRPr="00321430" w:rsidRDefault="00321430" w:rsidP="00321430">
      <w:pPr>
        <w:rPr>
          <w:b/>
          <w:bCs/>
        </w:rPr>
      </w:pPr>
      <w:r w:rsidRPr="00321430">
        <w:rPr>
          <w:b/>
          <w:bCs/>
        </w:rPr>
        <w:t>III. Results</w:t>
      </w:r>
    </w:p>
    <w:p w14:paraId="6701BF35" w14:textId="77777777" w:rsidR="00321430" w:rsidRPr="00321430" w:rsidRDefault="00321430" w:rsidP="00321430">
      <w:pPr>
        <w:rPr>
          <w:b/>
          <w:bCs/>
        </w:rPr>
      </w:pPr>
      <w:r w:rsidRPr="00321430">
        <w:rPr>
          <w:b/>
          <w:bCs/>
        </w:rPr>
        <w:t>A. Learning Curve Enhancement</w:t>
      </w:r>
    </w:p>
    <w:p w14:paraId="4911300A" w14:textId="77777777" w:rsidR="00321430" w:rsidRPr="00321430" w:rsidRDefault="00321430" w:rsidP="00321430">
      <w:r w:rsidRPr="00321430">
        <w:t>Fig. 1 demonstrates the improved learning curve of users utilizing the simulator compared to traditional study methods.</w:t>
      </w:r>
    </w:p>
    <w:p w14:paraId="540AE683" w14:textId="6A29B6E6" w:rsidR="00321430" w:rsidRDefault="00321430" w:rsidP="00321430">
      <w:r>
        <w:rPr>
          <w:noProof/>
        </w:rPr>
        <w:lastRenderedPageBreak/>
        <w:drawing>
          <wp:inline distT="0" distB="0" distL="0" distR="0" wp14:anchorId="5D5A83D9" wp14:editId="14858054">
            <wp:extent cx="4762500" cy="2857500"/>
            <wp:effectExtent l="0" t="0" r="0" b="0"/>
            <wp:docPr id="101087208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72084" name="Graphic 1010872084"/>
                    <pic:cNvPicPr/>
                  </pic:nvPicPr>
                  <pic:blipFill>
                    <a:blip r:embed="rId4">
                      <a:extLst>
                        <a:ext uri="{96DAC541-7B7A-43D3-8B79-37D633B846F1}">
                          <asvg:svgBlip xmlns:asvg="http://schemas.microsoft.com/office/drawing/2016/SVG/main" r:embed="rId5"/>
                        </a:ext>
                      </a:extLst>
                    </a:blip>
                    <a:stretch>
                      <a:fillRect/>
                    </a:stretch>
                  </pic:blipFill>
                  <pic:spPr>
                    <a:xfrm>
                      <a:off x="0" y="0"/>
                      <a:ext cx="4762500" cy="2857500"/>
                    </a:xfrm>
                    <a:prstGeom prst="rect">
                      <a:avLst/>
                    </a:prstGeom>
                  </pic:spPr>
                </pic:pic>
              </a:graphicData>
            </a:graphic>
          </wp:inline>
        </w:drawing>
      </w:r>
    </w:p>
    <w:p w14:paraId="336CDD07" w14:textId="33B2238F" w:rsidR="00321430" w:rsidRPr="00321430" w:rsidRDefault="00321430" w:rsidP="00321430">
      <w:pPr>
        <w:rPr>
          <w:i/>
          <w:iCs/>
        </w:rPr>
      </w:pPr>
      <w:r w:rsidRPr="00321430">
        <w:rPr>
          <w:i/>
          <w:iCs/>
        </w:rPr>
        <w:t>Fig. 1: Learning Curve Comparison</w:t>
      </w:r>
    </w:p>
    <w:p w14:paraId="726836DF" w14:textId="77777777" w:rsidR="00321430" w:rsidRPr="00321430" w:rsidRDefault="00321430" w:rsidP="00321430">
      <w:pPr>
        <w:rPr>
          <w:b/>
          <w:bCs/>
        </w:rPr>
      </w:pPr>
      <w:r w:rsidRPr="00321430">
        <w:rPr>
          <w:b/>
          <w:bCs/>
        </w:rPr>
        <w:t>B. Mitigation of Forgetting Curve</w:t>
      </w:r>
    </w:p>
    <w:p w14:paraId="230E0758" w14:textId="77777777" w:rsidR="00321430" w:rsidRPr="00321430" w:rsidRDefault="00321430" w:rsidP="00321430">
      <w:r w:rsidRPr="00321430">
        <w:t>Fig. 2 illustrates how the simulator's spaced repetition approach helps mitigate the effects of the forgetting curve.</w:t>
      </w:r>
    </w:p>
    <w:p w14:paraId="0EC538D7" w14:textId="232DDE48" w:rsidR="00321430" w:rsidRDefault="00321430" w:rsidP="00321430">
      <w:pPr>
        <w:rPr>
          <w:i/>
          <w:iCs/>
        </w:rPr>
      </w:pPr>
      <w:r>
        <w:rPr>
          <w:i/>
          <w:iCs/>
          <w:noProof/>
        </w:rPr>
        <w:drawing>
          <wp:inline distT="0" distB="0" distL="0" distR="0" wp14:anchorId="31B53C0F" wp14:editId="45E4F96D">
            <wp:extent cx="4762500" cy="2857500"/>
            <wp:effectExtent l="0" t="0" r="0" b="0"/>
            <wp:docPr id="515157958"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57958" name="Graphic 515157958"/>
                    <pic:cNvPicPr/>
                  </pic:nvPicPr>
                  <pic:blipFill>
                    <a:blip r:embed="rId6">
                      <a:extLst>
                        <a:ext uri="{96DAC541-7B7A-43D3-8B79-37D633B846F1}">
                          <asvg:svgBlip xmlns:asvg="http://schemas.microsoft.com/office/drawing/2016/SVG/main" r:embed="rId7"/>
                        </a:ext>
                      </a:extLst>
                    </a:blip>
                    <a:stretch>
                      <a:fillRect/>
                    </a:stretch>
                  </pic:blipFill>
                  <pic:spPr>
                    <a:xfrm>
                      <a:off x="0" y="0"/>
                      <a:ext cx="4762500" cy="2857500"/>
                    </a:xfrm>
                    <a:prstGeom prst="rect">
                      <a:avLst/>
                    </a:prstGeom>
                  </pic:spPr>
                </pic:pic>
              </a:graphicData>
            </a:graphic>
          </wp:inline>
        </w:drawing>
      </w:r>
    </w:p>
    <w:p w14:paraId="6C3C7808" w14:textId="7819BF1A" w:rsidR="00321430" w:rsidRPr="00321430" w:rsidRDefault="00321430" w:rsidP="00321430">
      <w:pPr>
        <w:rPr>
          <w:i/>
          <w:iCs/>
        </w:rPr>
      </w:pPr>
      <w:r w:rsidRPr="00321430">
        <w:rPr>
          <w:i/>
          <w:iCs/>
        </w:rPr>
        <w:t>Fig. 2: Forgetting Curve Mitigation</w:t>
      </w:r>
    </w:p>
    <w:p w14:paraId="66D5CC88" w14:textId="77777777" w:rsidR="00321430" w:rsidRPr="00321430" w:rsidRDefault="00321430" w:rsidP="00321430">
      <w:pPr>
        <w:rPr>
          <w:b/>
          <w:bCs/>
        </w:rPr>
      </w:pPr>
      <w:r w:rsidRPr="00321430">
        <w:rPr>
          <w:b/>
          <w:bCs/>
        </w:rPr>
        <w:t>C. Multi-Language Effectiveness</w:t>
      </w:r>
    </w:p>
    <w:p w14:paraId="3314608A" w14:textId="77777777" w:rsidR="00321430" w:rsidRPr="00321430" w:rsidRDefault="00321430" w:rsidP="00321430">
      <w:r w:rsidRPr="00321430">
        <w:t>Table I presents the effectiveness of the multi-language support in improving user engagement and performance across different regions.</w:t>
      </w:r>
    </w:p>
    <w:p w14:paraId="2FC84D86" w14:textId="77777777" w:rsidR="00321430" w:rsidRPr="00321430" w:rsidRDefault="00321430" w:rsidP="00321430">
      <w:r w:rsidRPr="00321430">
        <w:lastRenderedPageBreak/>
        <w:t>Table I: Multi-Language Support Effectiveness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2970"/>
        <w:gridCol w:w="3006"/>
      </w:tblGrid>
      <w:tr w:rsidR="00321430" w:rsidRPr="00321430" w14:paraId="749D66BA" w14:textId="77777777" w:rsidTr="00321430">
        <w:trPr>
          <w:tblHeader/>
          <w:tblCellSpacing w:w="15" w:type="dxa"/>
        </w:trPr>
        <w:tc>
          <w:tcPr>
            <w:tcW w:w="0" w:type="auto"/>
            <w:vAlign w:val="center"/>
            <w:hideMark/>
          </w:tcPr>
          <w:p w14:paraId="3252DAC8" w14:textId="77777777" w:rsidR="00321430" w:rsidRPr="00321430" w:rsidRDefault="00321430" w:rsidP="00321430">
            <w:pPr>
              <w:rPr>
                <w:b/>
                <w:bCs/>
              </w:rPr>
            </w:pPr>
            <w:r w:rsidRPr="00321430">
              <w:rPr>
                <w:b/>
                <w:bCs/>
              </w:rPr>
              <w:t>Language</w:t>
            </w:r>
          </w:p>
        </w:tc>
        <w:tc>
          <w:tcPr>
            <w:tcW w:w="0" w:type="auto"/>
            <w:vAlign w:val="center"/>
            <w:hideMark/>
          </w:tcPr>
          <w:p w14:paraId="2FA000FA" w14:textId="77777777" w:rsidR="00321430" w:rsidRPr="00321430" w:rsidRDefault="00321430" w:rsidP="00321430">
            <w:pPr>
              <w:rPr>
                <w:b/>
                <w:bCs/>
              </w:rPr>
            </w:pPr>
            <w:r w:rsidRPr="00321430">
              <w:rPr>
                <w:b/>
                <w:bCs/>
              </w:rPr>
              <w:t>User Engagement Increase</w:t>
            </w:r>
          </w:p>
        </w:tc>
        <w:tc>
          <w:tcPr>
            <w:tcW w:w="0" w:type="auto"/>
            <w:vAlign w:val="center"/>
            <w:hideMark/>
          </w:tcPr>
          <w:p w14:paraId="285233E3" w14:textId="77777777" w:rsidR="00321430" w:rsidRPr="00321430" w:rsidRDefault="00321430" w:rsidP="00321430">
            <w:pPr>
              <w:rPr>
                <w:b/>
                <w:bCs/>
              </w:rPr>
            </w:pPr>
            <w:r w:rsidRPr="00321430">
              <w:rPr>
                <w:b/>
                <w:bCs/>
              </w:rPr>
              <w:t>Performance Improvement</w:t>
            </w:r>
          </w:p>
        </w:tc>
      </w:tr>
      <w:tr w:rsidR="00321430" w:rsidRPr="00321430" w14:paraId="358CCB48" w14:textId="77777777" w:rsidTr="00321430">
        <w:trPr>
          <w:tblCellSpacing w:w="15" w:type="dxa"/>
        </w:trPr>
        <w:tc>
          <w:tcPr>
            <w:tcW w:w="0" w:type="auto"/>
            <w:vAlign w:val="center"/>
            <w:hideMark/>
          </w:tcPr>
          <w:p w14:paraId="557AD08D" w14:textId="77777777" w:rsidR="00321430" w:rsidRPr="00321430" w:rsidRDefault="00321430" w:rsidP="00321430">
            <w:r w:rsidRPr="00321430">
              <w:t>English</w:t>
            </w:r>
          </w:p>
        </w:tc>
        <w:tc>
          <w:tcPr>
            <w:tcW w:w="0" w:type="auto"/>
            <w:vAlign w:val="center"/>
            <w:hideMark/>
          </w:tcPr>
          <w:p w14:paraId="639F891D" w14:textId="77777777" w:rsidR="00321430" w:rsidRPr="00321430" w:rsidRDefault="00321430" w:rsidP="00321430">
            <w:r w:rsidRPr="00321430">
              <w:t>15%</w:t>
            </w:r>
          </w:p>
        </w:tc>
        <w:tc>
          <w:tcPr>
            <w:tcW w:w="0" w:type="auto"/>
            <w:vAlign w:val="center"/>
            <w:hideMark/>
          </w:tcPr>
          <w:p w14:paraId="7A5BF9D8" w14:textId="77777777" w:rsidR="00321430" w:rsidRPr="00321430" w:rsidRDefault="00321430" w:rsidP="00321430">
            <w:r w:rsidRPr="00321430">
              <w:t>22%</w:t>
            </w:r>
          </w:p>
        </w:tc>
      </w:tr>
      <w:tr w:rsidR="00321430" w:rsidRPr="00321430" w14:paraId="09EB28BD" w14:textId="77777777" w:rsidTr="00321430">
        <w:trPr>
          <w:tblCellSpacing w:w="15" w:type="dxa"/>
        </w:trPr>
        <w:tc>
          <w:tcPr>
            <w:tcW w:w="0" w:type="auto"/>
            <w:vAlign w:val="center"/>
            <w:hideMark/>
          </w:tcPr>
          <w:p w14:paraId="755F4DB6" w14:textId="77777777" w:rsidR="00321430" w:rsidRPr="00321430" w:rsidRDefault="00321430" w:rsidP="00321430">
            <w:r w:rsidRPr="00321430">
              <w:t>Spanish</w:t>
            </w:r>
          </w:p>
        </w:tc>
        <w:tc>
          <w:tcPr>
            <w:tcW w:w="0" w:type="auto"/>
            <w:vAlign w:val="center"/>
            <w:hideMark/>
          </w:tcPr>
          <w:p w14:paraId="64354709" w14:textId="77777777" w:rsidR="00321430" w:rsidRPr="00321430" w:rsidRDefault="00321430" w:rsidP="00321430">
            <w:r w:rsidRPr="00321430">
              <w:t>28%</w:t>
            </w:r>
          </w:p>
        </w:tc>
        <w:tc>
          <w:tcPr>
            <w:tcW w:w="0" w:type="auto"/>
            <w:vAlign w:val="center"/>
            <w:hideMark/>
          </w:tcPr>
          <w:p w14:paraId="6AF3114A" w14:textId="77777777" w:rsidR="00321430" w:rsidRPr="00321430" w:rsidRDefault="00321430" w:rsidP="00321430">
            <w:r w:rsidRPr="00321430">
              <w:t>31%</w:t>
            </w:r>
          </w:p>
        </w:tc>
      </w:tr>
      <w:tr w:rsidR="00321430" w:rsidRPr="00321430" w14:paraId="12D14D62" w14:textId="77777777" w:rsidTr="00321430">
        <w:trPr>
          <w:tblCellSpacing w:w="15" w:type="dxa"/>
        </w:trPr>
        <w:tc>
          <w:tcPr>
            <w:tcW w:w="0" w:type="auto"/>
            <w:vAlign w:val="center"/>
            <w:hideMark/>
          </w:tcPr>
          <w:p w14:paraId="1D86A105" w14:textId="77777777" w:rsidR="00321430" w:rsidRPr="00321430" w:rsidRDefault="00321430" w:rsidP="00321430">
            <w:r w:rsidRPr="00321430">
              <w:t>Portuguese</w:t>
            </w:r>
          </w:p>
        </w:tc>
        <w:tc>
          <w:tcPr>
            <w:tcW w:w="0" w:type="auto"/>
            <w:vAlign w:val="center"/>
            <w:hideMark/>
          </w:tcPr>
          <w:p w14:paraId="50DC05CC" w14:textId="77777777" w:rsidR="00321430" w:rsidRPr="00321430" w:rsidRDefault="00321430" w:rsidP="00321430">
            <w:r w:rsidRPr="00321430">
              <w:t>25%</w:t>
            </w:r>
          </w:p>
        </w:tc>
        <w:tc>
          <w:tcPr>
            <w:tcW w:w="0" w:type="auto"/>
            <w:vAlign w:val="center"/>
            <w:hideMark/>
          </w:tcPr>
          <w:p w14:paraId="23D739CE" w14:textId="77777777" w:rsidR="00321430" w:rsidRPr="00321430" w:rsidRDefault="00321430" w:rsidP="00321430">
            <w:r w:rsidRPr="00321430">
              <w:t>29%</w:t>
            </w:r>
          </w:p>
        </w:tc>
      </w:tr>
      <w:tr w:rsidR="00321430" w:rsidRPr="00321430" w14:paraId="5BC4F2E7" w14:textId="77777777" w:rsidTr="00321430">
        <w:trPr>
          <w:tblCellSpacing w:w="15" w:type="dxa"/>
        </w:trPr>
        <w:tc>
          <w:tcPr>
            <w:tcW w:w="0" w:type="auto"/>
            <w:vAlign w:val="center"/>
            <w:hideMark/>
          </w:tcPr>
          <w:p w14:paraId="02926F43" w14:textId="77777777" w:rsidR="00321430" w:rsidRPr="00321430" w:rsidRDefault="00321430" w:rsidP="00321430">
            <w:r w:rsidRPr="00321430">
              <w:t>French</w:t>
            </w:r>
          </w:p>
        </w:tc>
        <w:tc>
          <w:tcPr>
            <w:tcW w:w="0" w:type="auto"/>
            <w:vAlign w:val="center"/>
            <w:hideMark/>
          </w:tcPr>
          <w:p w14:paraId="46C31BD4" w14:textId="77777777" w:rsidR="00321430" w:rsidRPr="00321430" w:rsidRDefault="00321430" w:rsidP="00321430">
            <w:r w:rsidRPr="00321430">
              <w:t>22%</w:t>
            </w:r>
          </w:p>
        </w:tc>
        <w:tc>
          <w:tcPr>
            <w:tcW w:w="0" w:type="auto"/>
            <w:vAlign w:val="center"/>
            <w:hideMark/>
          </w:tcPr>
          <w:p w14:paraId="460F8097" w14:textId="77777777" w:rsidR="00321430" w:rsidRPr="00321430" w:rsidRDefault="00321430" w:rsidP="00321430">
            <w:r w:rsidRPr="00321430">
              <w:t>26%</w:t>
            </w:r>
          </w:p>
        </w:tc>
      </w:tr>
      <w:tr w:rsidR="00321430" w:rsidRPr="00321430" w14:paraId="7AEB19A4" w14:textId="77777777" w:rsidTr="00321430">
        <w:trPr>
          <w:tblCellSpacing w:w="15" w:type="dxa"/>
        </w:trPr>
        <w:tc>
          <w:tcPr>
            <w:tcW w:w="0" w:type="auto"/>
            <w:vAlign w:val="center"/>
            <w:hideMark/>
          </w:tcPr>
          <w:p w14:paraId="2DA75DCA" w14:textId="77777777" w:rsidR="00321430" w:rsidRPr="00321430" w:rsidRDefault="00321430" w:rsidP="00321430">
            <w:r w:rsidRPr="00321430">
              <w:t>Japanese</w:t>
            </w:r>
          </w:p>
        </w:tc>
        <w:tc>
          <w:tcPr>
            <w:tcW w:w="0" w:type="auto"/>
            <w:vAlign w:val="center"/>
            <w:hideMark/>
          </w:tcPr>
          <w:p w14:paraId="08C5C802" w14:textId="77777777" w:rsidR="00321430" w:rsidRPr="00321430" w:rsidRDefault="00321430" w:rsidP="00321430">
            <w:r w:rsidRPr="00321430">
              <w:t>30%</w:t>
            </w:r>
          </w:p>
        </w:tc>
        <w:tc>
          <w:tcPr>
            <w:tcW w:w="0" w:type="auto"/>
            <w:vAlign w:val="center"/>
            <w:hideMark/>
          </w:tcPr>
          <w:p w14:paraId="26969BFE" w14:textId="77777777" w:rsidR="00321430" w:rsidRPr="00321430" w:rsidRDefault="00321430" w:rsidP="00321430">
            <w:r w:rsidRPr="00321430">
              <w:t>34%</w:t>
            </w:r>
          </w:p>
        </w:tc>
      </w:tr>
    </w:tbl>
    <w:p w14:paraId="28439587" w14:textId="77777777" w:rsidR="00321430" w:rsidRPr="00321430" w:rsidRDefault="00321430" w:rsidP="00321430">
      <w:pPr>
        <w:rPr>
          <w:b/>
          <w:bCs/>
        </w:rPr>
      </w:pPr>
      <w:r w:rsidRPr="00321430">
        <w:rPr>
          <w:b/>
          <w:bCs/>
        </w:rPr>
        <w:t>D. Question Category Distribution</w:t>
      </w:r>
    </w:p>
    <w:p w14:paraId="43CC13B7" w14:textId="77777777" w:rsidR="00321430" w:rsidRPr="00321430" w:rsidRDefault="00321430" w:rsidP="00321430">
      <w:r w:rsidRPr="00321430">
        <w:t>Fig. 3 shows the distribution of questions across the three key areas evaluated in Azure certification exams.</w:t>
      </w:r>
    </w:p>
    <w:p w14:paraId="0B10B55E" w14:textId="003B195E" w:rsidR="00321430" w:rsidRDefault="00321430" w:rsidP="00321430">
      <w:pPr>
        <w:rPr>
          <w:i/>
          <w:iCs/>
        </w:rPr>
      </w:pPr>
      <w:r>
        <w:rPr>
          <w:i/>
          <w:iCs/>
          <w:noProof/>
        </w:rPr>
        <w:drawing>
          <wp:inline distT="0" distB="0" distL="0" distR="0" wp14:anchorId="7648DF38" wp14:editId="2CFAD603">
            <wp:extent cx="4762500" cy="2857500"/>
            <wp:effectExtent l="0" t="0" r="0" b="0"/>
            <wp:docPr id="151572905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29050" name="Graphic 1515729050"/>
                    <pic:cNvPicPr/>
                  </pic:nvPicPr>
                  <pic:blipFill>
                    <a:blip r:embed="rId8">
                      <a:extLst>
                        <a:ext uri="{96DAC541-7B7A-43D3-8B79-37D633B846F1}">
                          <asvg:svgBlip xmlns:asvg="http://schemas.microsoft.com/office/drawing/2016/SVG/main" r:embed="rId9"/>
                        </a:ext>
                      </a:extLst>
                    </a:blip>
                    <a:stretch>
                      <a:fillRect/>
                    </a:stretch>
                  </pic:blipFill>
                  <pic:spPr>
                    <a:xfrm>
                      <a:off x="0" y="0"/>
                      <a:ext cx="4762500" cy="2857500"/>
                    </a:xfrm>
                    <a:prstGeom prst="rect">
                      <a:avLst/>
                    </a:prstGeom>
                  </pic:spPr>
                </pic:pic>
              </a:graphicData>
            </a:graphic>
          </wp:inline>
        </w:drawing>
      </w:r>
    </w:p>
    <w:p w14:paraId="071D2BC0" w14:textId="748E1D8E" w:rsidR="00321430" w:rsidRPr="00321430" w:rsidRDefault="00321430" w:rsidP="00321430">
      <w:pPr>
        <w:rPr>
          <w:i/>
          <w:iCs/>
        </w:rPr>
      </w:pPr>
      <w:r w:rsidRPr="00321430">
        <w:rPr>
          <w:i/>
          <w:iCs/>
        </w:rPr>
        <w:t>Fig. 3: Question Category Distribution</w:t>
      </w:r>
    </w:p>
    <w:p w14:paraId="0524172E" w14:textId="77777777" w:rsidR="00321430" w:rsidRPr="00321430" w:rsidRDefault="00321430" w:rsidP="00321430">
      <w:pPr>
        <w:rPr>
          <w:b/>
          <w:bCs/>
        </w:rPr>
      </w:pPr>
      <w:r w:rsidRPr="00321430">
        <w:rPr>
          <w:b/>
          <w:bCs/>
        </w:rPr>
        <w:t>IV. Discussion</w:t>
      </w:r>
    </w:p>
    <w:p w14:paraId="5499FC8D" w14:textId="77777777" w:rsidR="00321430" w:rsidRPr="00321430" w:rsidRDefault="00321430" w:rsidP="00321430">
      <w:r w:rsidRPr="00321430">
        <w:t>The Azure Certification Practice Simulator demonstrates significant improvements in learning efficiency and knowledge retention. The implementation of microlearning and spaced repetition techniques aligns with cognitive science principles, allowing users to absorb and retain information more effectively.</w:t>
      </w:r>
    </w:p>
    <w:p w14:paraId="327A99F2" w14:textId="77777777" w:rsidR="00321430" w:rsidRPr="00321430" w:rsidRDefault="00321430" w:rsidP="00321430">
      <w:r w:rsidRPr="00321430">
        <w:lastRenderedPageBreak/>
        <w:t>The multi-language support, powered by advanced NLP techniques, has shown to be particularly effective in increasing user engagement and performance across different regions. This feature not only makes the tool more accessible but also caters to the global nature of Azure certifications.</w:t>
      </w:r>
    </w:p>
    <w:p w14:paraId="2470A1E5" w14:textId="77777777" w:rsidR="00321430" w:rsidRPr="00321430" w:rsidRDefault="00321430" w:rsidP="00321430">
      <w:r w:rsidRPr="00321430">
        <w:t>The categorization of questions into key areas provides users with a comprehensive understanding of their strengths and weaknesses, allowing for more targeted study. This approach mirrors the actual exam structure, better preparing candidates for the certification process.</w:t>
      </w:r>
    </w:p>
    <w:p w14:paraId="0FFFA4E3" w14:textId="77777777" w:rsidR="00321430" w:rsidRPr="00321430" w:rsidRDefault="00321430" w:rsidP="00321430">
      <w:pPr>
        <w:rPr>
          <w:b/>
          <w:bCs/>
        </w:rPr>
      </w:pPr>
      <w:r w:rsidRPr="00321430">
        <w:rPr>
          <w:b/>
          <w:bCs/>
        </w:rPr>
        <w:t>V. Conclusion</w:t>
      </w:r>
    </w:p>
    <w:p w14:paraId="5D655202" w14:textId="77777777" w:rsidR="00321430" w:rsidRPr="00321430" w:rsidRDefault="00321430" w:rsidP="00321430">
      <w:r w:rsidRPr="00321430">
        <w:t>The Azure Certification Practice Simulator presents a novel approach to exam preparation, leveraging cognitive science principles and advanced NLP techniques. By implementing microlearning, spaced repetition, and multi-language support, the tool effectively enhances the learning curve and mitigates the forgetting curve. Future work could focus on incorporating adaptive learning algorithms to further personalize the learning experience based on individual user performance.</w:t>
      </w:r>
    </w:p>
    <w:p w14:paraId="130803C0" w14:textId="77777777" w:rsidR="00321430" w:rsidRPr="00321430" w:rsidRDefault="00321430" w:rsidP="00321430">
      <w:pPr>
        <w:rPr>
          <w:b/>
          <w:bCs/>
        </w:rPr>
      </w:pPr>
      <w:r w:rsidRPr="00321430">
        <w:rPr>
          <w:b/>
          <w:bCs/>
        </w:rPr>
        <w:t>References</w:t>
      </w:r>
    </w:p>
    <w:p w14:paraId="35849B3E" w14:textId="77777777" w:rsidR="00321430" w:rsidRPr="00321430" w:rsidRDefault="00321430" w:rsidP="00321430">
      <w:r w:rsidRPr="00321430">
        <w:t>[1] H. Ebbinghaus, Memory: A Contribution to Experimental Psychology. New York: Teachers College, Columbia University, 1913.</w:t>
      </w:r>
    </w:p>
    <w:p w14:paraId="3B445FBB" w14:textId="77777777" w:rsidR="00321430" w:rsidRPr="00321430" w:rsidRDefault="00321430" w:rsidP="00321430">
      <w:r w:rsidRPr="00321430">
        <w:t>[2] R. C. Atkinson, "Optimizing the learning of a second-language vocabulary," Journal of Experimental Psychology, vol. 96, no. 1, pp. 124-129, 1972.</w:t>
      </w:r>
    </w:p>
    <w:p w14:paraId="49196A57" w14:textId="77777777" w:rsidR="00321430" w:rsidRPr="00321430" w:rsidRDefault="00321430" w:rsidP="00321430">
      <w:r w:rsidRPr="00321430">
        <w:t>[3] S. Bird, E. Klein, and E. Loper, Natural Language Processing with Python. O'Reilly Media, 2009.</w:t>
      </w:r>
    </w:p>
    <w:p w14:paraId="6F116A89" w14:textId="77777777" w:rsidR="00321430" w:rsidRPr="00321430" w:rsidRDefault="00321430" w:rsidP="00321430">
      <w:r w:rsidRPr="00321430">
        <w:t xml:space="preserve">[4] Microsoft, "Microsoft Azure Certification," [Online]. Available: </w:t>
      </w:r>
      <w:hyperlink r:id="rId10" w:history="1">
        <w:r w:rsidRPr="00321430">
          <w:rPr>
            <w:rStyle w:val="Hyperlink"/>
          </w:rPr>
          <w:t>https://docs.microsoft.com/en-us/learn/certifications/azure/</w:t>
        </w:r>
      </w:hyperlink>
    </w:p>
    <w:p w14:paraId="53AD4C74" w14:textId="38D4900F" w:rsidR="00BE478D" w:rsidRPr="00321430" w:rsidRDefault="00321430" w:rsidP="00321430">
      <w:r w:rsidRPr="00321430">
        <w:t>[5] P. Pimsleur, "A memory schedule," The Modern Language Journal, vol. 51, no. 2, pp. 73-75, 1967.</w:t>
      </w:r>
    </w:p>
    <w:sectPr w:rsidR="00BE478D" w:rsidRPr="0032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30"/>
    <w:rsid w:val="00321430"/>
    <w:rsid w:val="006E3E04"/>
    <w:rsid w:val="008D03F8"/>
    <w:rsid w:val="00BD715D"/>
    <w:rsid w:val="00BE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61E7"/>
  <w15:chartTrackingRefBased/>
  <w15:docId w15:val="{3E9013FC-1FF6-48DD-9FA4-A3B3C551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430"/>
    <w:rPr>
      <w:rFonts w:eastAsiaTheme="majorEastAsia" w:cstheme="majorBidi"/>
      <w:color w:val="272727" w:themeColor="text1" w:themeTint="D8"/>
    </w:rPr>
  </w:style>
  <w:style w:type="paragraph" w:styleId="Title">
    <w:name w:val="Title"/>
    <w:basedOn w:val="Normal"/>
    <w:next w:val="Normal"/>
    <w:link w:val="TitleChar"/>
    <w:uiPriority w:val="10"/>
    <w:qFormat/>
    <w:rsid w:val="00321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430"/>
    <w:pPr>
      <w:spacing w:before="160"/>
      <w:jc w:val="center"/>
    </w:pPr>
    <w:rPr>
      <w:i/>
      <w:iCs/>
      <w:color w:val="404040" w:themeColor="text1" w:themeTint="BF"/>
    </w:rPr>
  </w:style>
  <w:style w:type="character" w:customStyle="1" w:styleId="QuoteChar">
    <w:name w:val="Quote Char"/>
    <w:basedOn w:val="DefaultParagraphFont"/>
    <w:link w:val="Quote"/>
    <w:uiPriority w:val="29"/>
    <w:rsid w:val="00321430"/>
    <w:rPr>
      <w:i/>
      <w:iCs/>
      <w:color w:val="404040" w:themeColor="text1" w:themeTint="BF"/>
    </w:rPr>
  </w:style>
  <w:style w:type="paragraph" w:styleId="ListParagraph">
    <w:name w:val="List Paragraph"/>
    <w:basedOn w:val="Normal"/>
    <w:uiPriority w:val="34"/>
    <w:qFormat/>
    <w:rsid w:val="00321430"/>
    <w:pPr>
      <w:ind w:left="720"/>
      <w:contextualSpacing/>
    </w:pPr>
  </w:style>
  <w:style w:type="character" w:styleId="IntenseEmphasis">
    <w:name w:val="Intense Emphasis"/>
    <w:basedOn w:val="DefaultParagraphFont"/>
    <w:uiPriority w:val="21"/>
    <w:qFormat/>
    <w:rsid w:val="00321430"/>
    <w:rPr>
      <w:i/>
      <w:iCs/>
      <w:color w:val="0F4761" w:themeColor="accent1" w:themeShade="BF"/>
    </w:rPr>
  </w:style>
  <w:style w:type="paragraph" w:styleId="IntenseQuote">
    <w:name w:val="Intense Quote"/>
    <w:basedOn w:val="Normal"/>
    <w:next w:val="Normal"/>
    <w:link w:val="IntenseQuoteChar"/>
    <w:uiPriority w:val="30"/>
    <w:qFormat/>
    <w:rsid w:val="00321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430"/>
    <w:rPr>
      <w:i/>
      <w:iCs/>
      <w:color w:val="0F4761" w:themeColor="accent1" w:themeShade="BF"/>
    </w:rPr>
  </w:style>
  <w:style w:type="character" w:styleId="IntenseReference">
    <w:name w:val="Intense Reference"/>
    <w:basedOn w:val="DefaultParagraphFont"/>
    <w:uiPriority w:val="32"/>
    <w:qFormat/>
    <w:rsid w:val="00321430"/>
    <w:rPr>
      <w:b/>
      <w:bCs/>
      <w:smallCaps/>
      <w:color w:val="0F4761" w:themeColor="accent1" w:themeShade="BF"/>
      <w:spacing w:val="5"/>
    </w:rPr>
  </w:style>
  <w:style w:type="character" w:styleId="Hyperlink">
    <w:name w:val="Hyperlink"/>
    <w:basedOn w:val="DefaultParagraphFont"/>
    <w:uiPriority w:val="99"/>
    <w:unhideWhenUsed/>
    <w:rsid w:val="00321430"/>
    <w:rPr>
      <w:color w:val="467886" w:themeColor="hyperlink"/>
      <w:u w:val="single"/>
    </w:rPr>
  </w:style>
  <w:style w:type="character" w:styleId="UnresolvedMention">
    <w:name w:val="Unresolved Mention"/>
    <w:basedOn w:val="DefaultParagraphFont"/>
    <w:uiPriority w:val="99"/>
    <w:semiHidden/>
    <w:unhideWhenUsed/>
    <w:rsid w:val="00321430"/>
    <w:rPr>
      <w:color w:val="605E5C"/>
      <w:shd w:val="clear" w:color="auto" w:fill="E1DFDD"/>
    </w:rPr>
  </w:style>
  <w:style w:type="table" w:styleId="TableGrid">
    <w:name w:val="Table Grid"/>
    <w:basedOn w:val="TableNormal"/>
    <w:uiPriority w:val="39"/>
    <w:rsid w:val="0032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382017">
      <w:bodyDiv w:val="1"/>
      <w:marLeft w:val="0"/>
      <w:marRight w:val="0"/>
      <w:marTop w:val="0"/>
      <w:marBottom w:val="0"/>
      <w:divBdr>
        <w:top w:val="none" w:sz="0" w:space="0" w:color="auto"/>
        <w:left w:val="none" w:sz="0" w:space="0" w:color="auto"/>
        <w:bottom w:val="none" w:sz="0" w:space="0" w:color="auto"/>
        <w:right w:val="none" w:sz="0" w:space="0" w:color="auto"/>
      </w:divBdr>
      <w:divsChild>
        <w:div w:id="859851971">
          <w:marLeft w:val="0"/>
          <w:marRight w:val="0"/>
          <w:marTop w:val="0"/>
          <w:marBottom w:val="0"/>
          <w:divBdr>
            <w:top w:val="none" w:sz="0" w:space="0" w:color="auto"/>
            <w:left w:val="none" w:sz="0" w:space="0" w:color="auto"/>
            <w:bottom w:val="none" w:sz="0" w:space="0" w:color="auto"/>
            <w:right w:val="none" w:sz="0" w:space="0" w:color="auto"/>
          </w:divBdr>
          <w:divsChild>
            <w:div w:id="1849056255">
              <w:marLeft w:val="0"/>
              <w:marRight w:val="0"/>
              <w:marTop w:val="0"/>
              <w:marBottom w:val="0"/>
              <w:divBdr>
                <w:top w:val="none" w:sz="0" w:space="0" w:color="auto"/>
                <w:left w:val="none" w:sz="0" w:space="0" w:color="auto"/>
                <w:bottom w:val="none" w:sz="0" w:space="0" w:color="auto"/>
                <w:right w:val="none" w:sz="0" w:space="0" w:color="auto"/>
              </w:divBdr>
            </w:div>
            <w:div w:id="263390877">
              <w:marLeft w:val="0"/>
              <w:marRight w:val="0"/>
              <w:marTop w:val="0"/>
              <w:marBottom w:val="0"/>
              <w:divBdr>
                <w:top w:val="none" w:sz="0" w:space="0" w:color="auto"/>
                <w:left w:val="none" w:sz="0" w:space="0" w:color="auto"/>
                <w:bottom w:val="none" w:sz="0" w:space="0" w:color="auto"/>
                <w:right w:val="none" w:sz="0" w:space="0" w:color="auto"/>
              </w:divBdr>
              <w:divsChild>
                <w:div w:id="1568959576">
                  <w:marLeft w:val="0"/>
                  <w:marRight w:val="0"/>
                  <w:marTop w:val="0"/>
                  <w:marBottom w:val="0"/>
                  <w:divBdr>
                    <w:top w:val="none" w:sz="0" w:space="0" w:color="auto"/>
                    <w:left w:val="none" w:sz="0" w:space="0" w:color="auto"/>
                    <w:bottom w:val="none" w:sz="0" w:space="0" w:color="auto"/>
                    <w:right w:val="none" w:sz="0" w:space="0" w:color="auto"/>
                  </w:divBdr>
                </w:div>
              </w:divsChild>
            </w:div>
            <w:div w:id="1490559009">
              <w:marLeft w:val="0"/>
              <w:marRight w:val="0"/>
              <w:marTop w:val="0"/>
              <w:marBottom w:val="0"/>
              <w:divBdr>
                <w:top w:val="none" w:sz="0" w:space="0" w:color="auto"/>
                <w:left w:val="none" w:sz="0" w:space="0" w:color="auto"/>
                <w:bottom w:val="none" w:sz="0" w:space="0" w:color="auto"/>
                <w:right w:val="none" w:sz="0" w:space="0" w:color="auto"/>
              </w:divBdr>
              <w:divsChild>
                <w:div w:id="1030104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484689">
          <w:marLeft w:val="0"/>
          <w:marRight w:val="0"/>
          <w:marTop w:val="0"/>
          <w:marBottom w:val="0"/>
          <w:divBdr>
            <w:top w:val="none" w:sz="0" w:space="0" w:color="auto"/>
            <w:left w:val="none" w:sz="0" w:space="0" w:color="auto"/>
            <w:bottom w:val="none" w:sz="0" w:space="0" w:color="auto"/>
            <w:right w:val="none" w:sz="0" w:space="0" w:color="auto"/>
          </w:divBdr>
          <w:divsChild>
            <w:div w:id="1735396228">
              <w:marLeft w:val="0"/>
              <w:marRight w:val="0"/>
              <w:marTop w:val="0"/>
              <w:marBottom w:val="0"/>
              <w:divBdr>
                <w:top w:val="none" w:sz="0" w:space="0" w:color="auto"/>
                <w:left w:val="none" w:sz="0" w:space="0" w:color="auto"/>
                <w:bottom w:val="none" w:sz="0" w:space="0" w:color="auto"/>
                <w:right w:val="none" w:sz="0" w:space="0" w:color="auto"/>
              </w:divBdr>
            </w:div>
            <w:div w:id="370616077">
              <w:marLeft w:val="0"/>
              <w:marRight w:val="0"/>
              <w:marTop w:val="0"/>
              <w:marBottom w:val="0"/>
              <w:divBdr>
                <w:top w:val="none" w:sz="0" w:space="0" w:color="auto"/>
                <w:left w:val="none" w:sz="0" w:space="0" w:color="auto"/>
                <w:bottom w:val="none" w:sz="0" w:space="0" w:color="auto"/>
                <w:right w:val="none" w:sz="0" w:space="0" w:color="auto"/>
              </w:divBdr>
              <w:divsChild>
                <w:div w:id="1681078797">
                  <w:marLeft w:val="0"/>
                  <w:marRight w:val="0"/>
                  <w:marTop w:val="0"/>
                  <w:marBottom w:val="0"/>
                  <w:divBdr>
                    <w:top w:val="none" w:sz="0" w:space="0" w:color="auto"/>
                    <w:left w:val="none" w:sz="0" w:space="0" w:color="auto"/>
                    <w:bottom w:val="none" w:sz="0" w:space="0" w:color="auto"/>
                    <w:right w:val="none" w:sz="0" w:space="0" w:color="auto"/>
                  </w:divBdr>
                </w:div>
              </w:divsChild>
            </w:div>
            <w:div w:id="1100948416">
              <w:marLeft w:val="0"/>
              <w:marRight w:val="0"/>
              <w:marTop w:val="0"/>
              <w:marBottom w:val="0"/>
              <w:divBdr>
                <w:top w:val="none" w:sz="0" w:space="0" w:color="auto"/>
                <w:left w:val="none" w:sz="0" w:space="0" w:color="auto"/>
                <w:bottom w:val="none" w:sz="0" w:space="0" w:color="auto"/>
                <w:right w:val="none" w:sz="0" w:space="0" w:color="auto"/>
              </w:divBdr>
              <w:divsChild>
                <w:div w:id="7829215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03433444">
      <w:bodyDiv w:val="1"/>
      <w:marLeft w:val="0"/>
      <w:marRight w:val="0"/>
      <w:marTop w:val="0"/>
      <w:marBottom w:val="0"/>
      <w:divBdr>
        <w:top w:val="none" w:sz="0" w:space="0" w:color="auto"/>
        <w:left w:val="none" w:sz="0" w:space="0" w:color="auto"/>
        <w:bottom w:val="none" w:sz="0" w:space="0" w:color="auto"/>
        <w:right w:val="none" w:sz="0" w:space="0" w:color="auto"/>
      </w:divBdr>
      <w:divsChild>
        <w:div w:id="586497616">
          <w:marLeft w:val="0"/>
          <w:marRight w:val="0"/>
          <w:marTop w:val="0"/>
          <w:marBottom w:val="0"/>
          <w:divBdr>
            <w:top w:val="none" w:sz="0" w:space="0" w:color="auto"/>
            <w:left w:val="none" w:sz="0" w:space="0" w:color="auto"/>
            <w:bottom w:val="none" w:sz="0" w:space="0" w:color="auto"/>
            <w:right w:val="none" w:sz="0" w:space="0" w:color="auto"/>
          </w:divBdr>
          <w:divsChild>
            <w:div w:id="1708679412">
              <w:marLeft w:val="0"/>
              <w:marRight w:val="0"/>
              <w:marTop w:val="0"/>
              <w:marBottom w:val="0"/>
              <w:divBdr>
                <w:top w:val="none" w:sz="0" w:space="0" w:color="auto"/>
                <w:left w:val="none" w:sz="0" w:space="0" w:color="auto"/>
                <w:bottom w:val="none" w:sz="0" w:space="0" w:color="auto"/>
                <w:right w:val="none" w:sz="0" w:space="0" w:color="auto"/>
              </w:divBdr>
            </w:div>
            <w:div w:id="1792672435">
              <w:marLeft w:val="0"/>
              <w:marRight w:val="0"/>
              <w:marTop w:val="0"/>
              <w:marBottom w:val="0"/>
              <w:divBdr>
                <w:top w:val="none" w:sz="0" w:space="0" w:color="auto"/>
                <w:left w:val="none" w:sz="0" w:space="0" w:color="auto"/>
                <w:bottom w:val="none" w:sz="0" w:space="0" w:color="auto"/>
                <w:right w:val="none" w:sz="0" w:space="0" w:color="auto"/>
              </w:divBdr>
              <w:divsChild>
                <w:div w:id="42564286">
                  <w:marLeft w:val="0"/>
                  <w:marRight w:val="0"/>
                  <w:marTop w:val="0"/>
                  <w:marBottom w:val="0"/>
                  <w:divBdr>
                    <w:top w:val="none" w:sz="0" w:space="0" w:color="auto"/>
                    <w:left w:val="none" w:sz="0" w:space="0" w:color="auto"/>
                    <w:bottom w:val="none" w:sz="0" w:space="0" w:color="auto"/>
                    <w:right w:val="none" w:sz="0" w:space="0" w:color="auto"/>
                  </w:divBdr>
                </w:div>
              </w:divsChild>
            </w:div>
            <w:div w:id="1810587866">
              <w:marLeft w:val="0"/>
              <w:marRight w:val="0"/>
              <w:marTop w:val="0"/>
              <w:marBottom w:val="0"/>
              <w:divBdr>
                <w:top w:val="none" w:sz="0" w:space="0" w:color="auto"/>
                <w:left w:val="none" w:sz="0" w:space="0" w:color="auto"/>
                <w:bottom w:val="none" w:sz="0" w:space="0" w:color="auto"/>
                <w:right w:val="none" w:sz="0" w:space="0" w:color="auto"/>
              </w:divBdr>
              <w:divsChild>
                <w:div w:id="648449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9882094">
          <w:marLeft w:val="0"/>
          <w:marRight w:val="0"/>
          <w:marTop w:val="0"/>
          <w:marBottom w:val="0"/>
          <w:divBdr>
            <w:top w:val="none" w:sz="0" w:space="0" w:color="auto"/>
            <w:left w:val="none" w:sz="0" w:space="0" w:color="auto"/>
            <w:bottom w:val="none" w:sz="0" w:space="0" w:color="auto"/>
            <w:right w:val="none" w:sz="0" w:space="0" w:color="auto"/>
          </w:divBdr>
          <w:divsChild>
            <w:div w:id="717240954">
              <w:marLeft w:val="0"/>
              <w:marRight w:val="0"/>
              <w:marTop w:val="0"/>
              <w:marBottom w:val="0"/>
              <w:divBdr>
                <w:top w:val="none" w:sz="0" w:space="0" w:color="auto"/>
                <w:left w:val="none" w:sz="0" w:space="0" w:color="auto"/>
                <w:bottom w:val="none" w:sz="0" w:space="0" w:color="auto"/>
                <w:right w:val="none" w:sz="0" w:space="0" w:color="auto"/>
              </w:divBdr>
            </w:div>
            <w:div w:id="564879805">
              <w:marLeft w:val="0"/>
              <w:marRight w:val="0"/>
              <w:marTop w:val="0"/>
              <w:marBottom w:val="0"/>
              <w:divBdr>
                <w:top w:val="none" w:sz="0" w:space="0" w:color="auto"/>
                <w:left w:val="none" w:sz="0" w:space="0" w:color="auto"/>
                <w:bottom w:val="none" w:sz="0" w:space="0" w:color="auto"/>
                <w:right w:val="none" w:sz="0" w:space="0" w:color="auto"/>
              </w:divBdr>
              <w:divsChild>
                <w:div w:id="1938782394">
                  <w:marLeft w:val="0"/>
                  <w:marRight w:val="0"/>
                  <w:marTop w:val="0"/>
                  <w:marBottom w:val="0"/>
                  <w:divBdr>
                    <w:top w:val="none" w:sz="0" w:space="0" w:color="auto"/>
                    <w:left w:val="none" w:sz="0" w:space="0" w:color="auto"/>
                    <w:bottom w:val="none" w:sz="0" w:space="0" w:color="auto"/>
                    <w:right w:val="none" w:sz="0" w:space="0" w:color="auto"/>
                  </w:divBdr>
                </w:div>
              </w:divsChild>
            </w:div>
            <w:div w:id="946812049">
              <w:marLeft w:val="0"/>
              <w:marRight w:val="0"/>
              <w:marTop w:val="0"/>
              <w:marBottom w:val="0"/>
              <w:divBdr>
                <w:top w:val="none" w:sz="0" w:space="0" w:color="auto"/>
                <w:left w:val="none" w:sz="0" w:space="0" w:color="auto"/>
                <w:bottom w:val="none" w:sz="0" w:space="0" w:color="auto"/>
                <w:right w:val="none" w:sz="0" w:space="0" w:color="auto"/>
              </w:divBdr>
              <w:divsChild>
                <w:div w:id="1172838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svg"/><Relationship Id="rId10" Type="http://schemas.openxmlformats.org/officeDocument/2006/relationships/hyperlink" Target="https://docs.microsoft.com/en-us/learn/certifications/azure/" TargetMode="Externa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5</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Vinicio Flores Hernandez (International Supplier)</dc:creator>
  <cp:keywords/>
  <dc:description/>
  <cp:lastModifiedBy>Vinicio Flores Hernandez (International Supplier)</cp:lastModifiedBy>
  <cp:revision>1</cp:revision>
  <dcterms:created xsi:type="dcterms:W3CDTF">2024-09-24T03:06:00Z</dcterms:created>
  <dcterms:modified xsi:type="dcterms:W3CDTF">2024-09-24T03:10:00Z</dcterms:modified>
</cp:coreProperties>
</file>