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1995C" w14:textId="77777777" w:rsidR="00F868D1" w:rsidRDefault="00F868D1" w:rsidP="00F868D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EA1">
        <w:rPr>
          <w:rFonts w:ascii="Arial" w:hAnsi="Arial" w:cs="Arial"/>
          <w:b/>
          <w:bCs/>
          <w:sz w:val="28"/>
          <w:szCs w:val="28"/>
        </w:rPr>
        <w:t>ANEXO</w:t>
      </w:r>
      <w:r w:rsidRPr="00376EA1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Pr="00376EA1">
        <w:rPr>
          <w:rFonts w:ascii="Arial" w:hAnsi="Arial" w:cs="Arial"/>
          <w:b/>
          <w:bCs/>
          <w:sz w:val="28"/>
          <w:szCs w:val="28"/>
        </w:rPr>
        <w:t>III</w:t>
      </w:r>
    </w:p>
    <w:p w14:paraId="3E153963" w14:textId="77777777" w:rsidR="00F868D1" w:rsidRPr="00376EA1" w:rsidRDefault="00F868D1" w:rsidP="00F868D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475212" w14:textId="77777777" w:rsidR="00F868D1" w:rsidRDefault="00F868D1" w:rsidP="00F868D1">
      <w:pPr>
        <w:pStyle w:val="BodyText"/>
        <w:spacing w:line="360" w:lineRule="auto"/>
        <w:rPr>
          <w:rFonts w:ascii="Arial"/>
          <w:b/>
          <w:szCs w:val="24"/>
        </w:rPr>
      </w:pPr>
      <w:r>
        <w:rPr>
          <w:rFonts w:ascii="Arial"/>
          <w:b/>
          <w:szCs w:val="24"/>
        </w:rPr>
        <w:t>Pr</w:t>
      </w:r>
      <w:r>
        <w:rPr>
          <w:rFonts w:ascii="Arial"/>
          <w:b/>
          <w:szCs w:val="24"/>
          <w:lang w:val="es-EC"/>
        </w:rPr>
        <w:t>á</w:t>
      </w:r>
      <w:proofErr w:type="spellStart"/>
      <w:r>
        <w:rPr>
          <w:rFonts w:ascii="Arial"/>
          <w:b/>
          <w:szCs w:val="24"/>
        </w:rPr>
        <w:t>ctica</w:t>
      </w:r>
      <w:proofErr w:type="spellEnd"/>
      <w:r>
        <w:rPr>
          <w:rFonts w:ascii="Arial"/>
          <w:b/>
          <w:szCs w:val="24"/>
        </w:rPr>
        <w:t xml:space="preserve"> 3:</w:t>
      </w:r>
      <w:r w:rsidRPr="004E5CA3">
        <w:t xml:space="preserve"> </w:t>
      </w:r>
      <w:r w:rsidRPr="004E5CA3">
        <w:rPr>
          <w:rFonts w:ascii="Arial"/>
          <w:b/>
          <w:szCs w:val="24"/>
        </w:rPr>
        <w:t>Cifrado y firma digital con el uso de GPG</w:t>
      </w:r>
    </w:p>
    <w:p w14:paraId="7A51D697" w14:textId="77777777" w:rsidR="00F868D1" w:rsidRPr="002328F4" w:rsidRDefault="00F868D1" w:rsidP="00F868D1">
      <w:pPr>
        <w:pStyle w:val="BodyText"/>
        <w:spacing w:before="1" w:line="360" w:lineRule="auto"/>
        <w:rPr>
          <w:b/>
          <w:bCs/>
          <w:szCs w:val="20"/>
          <w:lang w:val="es-EC"/>
        </w:rPr>
      </w:pPr>
      <w:r w:rsidRPr="002328F4">
        <w:rPr>
          <w:b/>
          <w:bCs/>
          <w:szCs w:val="20"/>
          <w:lang w:val="es-EC"/>
        </w:rPr>
        <w:t>Informe</w:t>
      </w:r>
    </w:p>
    <w:p w14:paraId="30A259F7" w14:textId="77777777" w:rsidR="00F868D1" w:rsidRPr="00CD2875" w:rsidRDefault="00F868D1" w:rsidP="00F868D1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CD2875">
        <w:rPr>
          <w:b/>
          <w:bCs/>
        </w:rPr>
        <w:t>Documentar las configuraciones aplicadas.</w:t>
      </w:r>
    </w:p>
    <w:p w14:paraId="5F621CFD" w14:textId="77777777" w:rsidR="00F868D1" w:rsidRDefault="00F868D1" w:rsidP="00F868D1">
      <w:pPr>
        <w:spacing w:line="360" w:lineRule="auto"/>
        <w:jc w:val="both"/>
      </w:pPr>
      <w:r>
        <w:t xml:space="preserve">Las configuraciones realizadas se encuentran en la parte procedimiento de la práctica. </w:t>
      </w:r>
    </w:p>
    <w:p w14:paraId="51FF01F5" w14:textId="77777777" w:rsidR="00F868D1" w:rsidRPr="00CD2875" w:rsidRDefault="00F868D1" w:rsidP="00F868D1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CD2875">
        <w:rPr>
          <w:b/>
          <w:bCs/>
        </w:rPr>
        <w:t>Presentar las capturas de pantalla, con la debida explicación de los resultados mostrados. Además, indicar el impacto en la seguridad.</w:t>
      </w:r>
    </w:p>
    <w:p w14:paraId="3EFAEAFF" w14:textId="77777777" w:rsidR="00F868D1" w:rsidRPr="00CD2875" w:rsidRDefault="00F868D1" w:rsidP="00F868D1">
      <w:pPr>
        <w:spacing w:line="360" w:lineRule="auto"/>
        <w:jc w:val="both"/>
      </w:pPr>
      <w:r>
        <w:t>Los resultados obtenidos de la práctica con la debida explicación se muestran en la parte de resultados de la práctica. Y también el impacto que tiene en la seguridad de los dispositivos.</w:t>
      </w:r>
    </w:p>
    <w:p w14:paraId="3B160E0E" w14:textId="77777777" w:rsidR="00F868D1" w:rsidRDefault="00F868D1" w:rsidP="00F868D1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Arial" w:hAnsi="Arial" w:cs="Arial"/>
          <w:b/>
          <w:bCs/>
        </w:rPr>
      </w:pPr>
      <w:r w:rsidRPr="00DF6B36">
        <w:rPr>
          <w:rFonts w:ascii="Arial" w:hAnsi="Arial" w:cs="Arial"/>
          <w:b/>
          <w:bCs/>
        </w:rPr>
        <w:t>Realizar el proceso de firma separada y explicar sus casos de uso. Además, las diferencias que tiene con firma adjunta</w:t>
      </w:r>
      <w:r>
        <w:rPr>
          <w:rFonts w:ascii="Arial" w:hAnsi="Arial" w:cs="Arial"/>
          <w:b/>
          <w:bCs/>
        </w:rPr>
        <w:t>.</w:t>
      </w:r>
    </w:p>
    <w:p w14:paraId="58260B9F" w14:textId="77777777" w:rsidR="00F868D1" w:rsidRDefault="00F868D1" w:rsidP="00F868D1">
      <w:pPr>
        <w:spacing w:line="360" w:lineRule="auto"/>
        <w:jc w:val="both"/>
        <w:rPr>
          <w:rFonts w:ascii="Arial" w:hAnsi="Arial" w:cs="Arial"/>
        </w:rPr>
      </w:pPr>
      <w:r w:rsidRPr="001F7E42">
        <w:rPr>
          <w:rFonts w:ascii="Arial" w:hAnsi="Arial" w:cs="Arial"/>
        </w:rPr>
        <w:t xml:space="preserve">La firma digital </w:t>
      </w:r>
      <w:r>
        <w:rPr>
          <w:rFonts w:ascii="Arial" w:hAnsi="Arial" w:cs="Arial"/>
        </w:rPr>
        <w:t xml:space="preserve">separada como se nombre lo dice, </w:t>
      </w:r>
      <w:r w:rsidRPr="001F7E42">
        <w:rPr>
          <w:rFonts w:ascii="Arial" w:hAnsi="Arial" w:cs="Arial"/>
        </w:rPr>
        <w:t>se guarda en un archivo independiente del documento original. Este archivo de firma almacena la información criptográfica necesaria para validar la autenticidad del documento sin alterar su contenido.</w:t>
      </w:r>
      <w:r>
        <w:rPr>
          <w:rFonts w:ascii="Arial" w:hAnsi="Arial" w:cs="Arial"/>
        </w:rPr>
        <w:t xml:space="preserve"> </w:t>
      </w:r>
      <w:r w:rsidRPr="001F7E42">
        <w:rPr>
          <w:rFonts w:ascii="Arial" w:hAnsi="Arial" w:cs="Arial"/>
        </w:rPr>
        <w:t>Se utiliza con frecuencia en entornos donde es fundamental preservar la integridad del archivo original, como en sistemas gubernamentales y transacciones electrónicas, asegurando que los documentos no sean alterados y mantengan su validez.</w:t>
      </w:r>
      <w:r>
        <w:rPr>
          <w:rFonts w:ascii="Arial" w:hAnsi="Arial" w:cs="Arial"/>
        </w:rPr>
        <w:t xml:space="preserve"> </w:t>
      </w:r>
    </w:p>
    <w:p w14:paraId="4698B91D" w14:textId="77777777" w:rsidR="00F868D1" w:rsidRPr="001F7E42" w:rsidRDefault="00F868D1" w:rsidP="00F868D1">
      <w:pPr>
        <w:spacing w:line="36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</w:rPr>
        <w:t xml:space="preserve">Por lo tanto, </w:t>
      </w:r>
      <w:r w:rsidRPr="001F7E42">
        <w:rPr>
          <w:rFonts w:ascii="Arial" w:hAnsi="Arial" w:cs="Arial"/>
          <w:lang w:val="es-EC"/>
        </w:rPr>
        <w:t xml:space="preserve">Se emplea una </w:t>
      </w:r>
      <w:r w:rsidRPr="001F7E42">
        <w:rPr>
          <w:rFonts w:ascii="Arial" w:hAnsi="Arial" w:cs="Arial"/>
          <w:b/>
          <w:bCs/>
          <w:lang w:val="es-EC"/>
        </w:rPr>
        <w:t>firma adjunta</w:t>
      </w:r>
      <w:r w:rsidRPr="001F7E42">
        <w:rPr>
          <w:rFonts w:ascii="Arial" w:hAnsi="Arial" w:cs="Arial"/>
          <w:lang w:val="es-EC"/>
        </w:rPr>
        <w:t xml:space="preserve"> cuando se requiere un archivo autocontenido, lo que facilita su distribución y uso sin necesidad de archivos adicionales. Por otro lado, se utiliza una </w:t>
      </w:r>
      <w:r w:rsidRPr="001F7E42">
        <w:rPr>
          <w:rFonts w:ascii="Arial" w:hAnsi="Arial" w:cs="Arial"/>
          <w:b/>
          <w:bCs/>
          <w:lang w:val="es-EC"/>
        </w:rPr>
        <w:t>firma separada</w:t>
      </w:r>
      <w:r w:rsidRPr="001F7E42">
        <w:rPr>
          <w:rFonts w:ascii="Arial" w:hAnsi="Arial" w:cs="Arial"/>
          <w:lang w:val="es-EC"/>
        </w:rPr>
        <w:t xml:space="preserve"> cuando es necesario firmar documentos sin alterarlos, especialmente en situaciones donde la integridad del archivo original es crucial, como en entornos gubernamentales o transacciones seguras.</w:t>
      </w:r>
    </w:p>
    <w:p w14:paraId="6C026C04" w14:textId="77777777" w:rsidR="00F868D1" w:rsidRDefault="00F868D1" w:rsidP="00F868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esta forma f</w:t>
      </w:r>
      <w:r w:rsidRPr="000F1AC3">
        <w:rPr>
          <w:rFonts w:ascii="Arial" w:hAnsi="Arial" w:cs="Arial"/>
        </w:rPr>
        <w:t xml:space="preserve">irmar un </w:t>
      </w:r>
      <w:r>
        <w:rPr>
          <w:rFonts w:ascii="Arial" w:hAnsi="Arial" w:cs="Arial"/>
        </w:rPr>
        <w:t>a</w:t>
      </w:r>
      <w:r w:rsidRPr="000F1AC3">
        <w:rPr>
          <w:rFonts w:ascii="Arial" w:hAnsi="Arial" w:cs="Arial"/>
        </w:rPr>
        <w:t xml:space="preserve">rchivo con </w:t>
      </w:r>
      <w:r>
        <w:rPr>
          <w:rFonts w:ascii="Arial" w:hAnsi="Arial" w:cs="Arial"/>
        </w:rPr>
        <w:t>f</w:t>
      </w:r>
      <w:r w:rsidRPr="000F1AC3">
        <w:rPr>
          <w:rFonts w:ascii="Arial" w:hAnsi="Arial" w:cs="Arial"/>
        </w:rPr>
        <w:t xml:space="preserve">irma </w:t>
      </w:r>
      <w:r>
        <w:rPr>
          <w:rFonts w:ascii="Arial" w:hAnsi="Arial" w:cs="Arial"/>
        </w:rPr>
        <w:t>s</w:t>
      </w:r>
      <w:r w:rsidRPr="000F1AC3">
        <w:rPr>
          <w:rFonts w:ascii="Arial" w:hAnsi="Arial" w:cs="Arial"/>
        </w:rPr>
        <w:t>eparada</w:t>
      </w:r>
      <w:r>
        <w:rPr>
          <w:rFonts w:ascii="Arial" w:hAnsi="Arial" w:cs="Arial"/>
        </w:rPr>
        <w:t xml:space="preserve">, primero se genera el archivo firmado por parte del emisor con su clave privada. Para el caso se obtiene el archivo </w:t>
      </w:r>
      <w:proofErr w:type="spellStart"/>
      <w:r w:rsidRPr="000F1AC3">
        <w:rPr>
          <w:rFonts w:ascii="Consolas" w:hAnsi="Consolas" w:cs="Arial"/>
        </w:rPr>
        <w:t>Claves.txt.sig</w:t>
      </w:r>
      <w:proofErr w:type="spellEnd"/>
      <w:r>
        <w:rPr>
          <w:rFonts w:ascii="Consolas" w:hAnsi="Consolas" w:cs="Arial"/>
        </w:rPr>
        <w:t>.</w:t>
      </w:r>
    </w:p>
    <w:p w14:paraId="33F6D788" w14:textId="77777777" w:rsidR="00F868D1" w:rsidRDefault="00F868D1" w:rsidP="00F868D1">
      <w:pPr>
        <w:spacing w:line="360" w:lineRule="auto"/>
        <w:jc w:val="center"/>
        <w:rPr>
          <w:rFonts w:ascii="Arial" w:hAnsi="Arial" w:cs="Arial"/>
        </w:rPr>
      </w:pPr>
      <w:r w:rsidRPr="000F1AC3">
        <w:rPr>
          <w:rFonts w:ascii="Arial" w:hAnsi="Arial" w:cs="Arial"/>
          <w:noProof/>
        </w:rPr>
        <w:drawing>
          <wp:inline distT="0" distB="0" distL="0" distR="0" wp14:anchorId="74958E69" wp14:editId="28853A12">
            <wp:extent cx="5151120" cy="511239"/>
            <wp:effectExtent l="0" t="0" r="0" b="0"/>
            <wp:docPr id="176960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2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467" cy="5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3C79" w14:textId="77777777" w:rsidR="00F868D1" w:rsidRDefault="00F868D1" w:rsidP="00F868D1">
      <w:pPr>
        <w:spacing w:line="360" w:lineRule="auto"/>
        <w:jc w:val="center"/>
        <w:rPr>
          <w:rFonts w:ascii="Arial" w:hAnsi="Arial" w:cs="Arial"/>
        </w:rPr>
      </w:pPr>
      <w:r w:rsidRPr="005254D6">
        <w:rPr>
          <w:b/>
          <w:bCs/>
        </w:rPr>
        <w:t>Figura 5.</w:t>
      </w:r>
      <w:r>
        <w:rPr>
          <w:b/>
          <w:bCs/>
        </w:rPr>
        <w:t xml:space="preserve">19. </w:t>
      </w:r>
      <w:r>
        <w:t>Firma de archivo por parte del emisor.</w:t>
      </w:r>
    </w:p>
    <w:p w14:paraId="5397AD0C" w14:textId="77777777" w:rsidR="00F868D1" w:rsidRDefault="00F868D1" w:rsidP="00F868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esta forma el archivo formido .</w:t>
      </w:r>
      <w:proofErr w:type="spellStart"/>
      <w:r>
        <w:rPr>
          <w:rFonts w:ascii="Arial" w:hAnsi="Arial" w:cs="Arial"/>
        </w:rPr>
        <w:t>sig</w:t>
      </w:r>
      <w:proofErr w:type="spellEnd"/>
      <w:r>
        <w:rPr>
          <w:rFonts w:ascii="Arial" w:hAnsi="Arial" w:cs="Arial"/>
        </w:rPr>
        <w:t xml:space="preserve"> y el archivo original se envían al receptor para que pueda </w:t>
      </w:r>
      <w:r w:rsidRPr="000F1AC3">
        <w:rPr>
          <w:rFonts w:ascii="Arial" w:hAnsi="Arial" w:cs="Arial"/>
        </w:rPr>
        <w:t xml:space="preserve">verificar la autenticidad del archivo utilizando la clave pública del </w:t>
      </w:r>
      <w:r>
        <w:rPr>
          <w:rFonts w:ascii="Arial" w:hAnsi="Arial" w:cs="Arial"/>
        </w:rPr>
        <w:t xml:space="preserve">emisor. Para ello se usa el comando </w:t>
      </w:r>
      <w:proofErr w:type="spellStart"/>
      <w:r w:rsidRPr="00AF1631">
        <w:rPr>
          <w:rFonts w:ascii="Consolas" w:hAnsi="Consolas" w:cs="Arial"/>
        </w:rPr>
        <w:t>gpg</w:t>
      </w:r>
      <w:proofErr w:type="spellEnd"/>
      <w:r w:rsidRPr="00AF1631">
        <w:rPr>
          <w:rFonts w:ascii="Consolas" w:hAnsi="Consolas" w:cs="Arial"/>
        </w:rPr>
        <w:t xml:space="preserve"> --</w:t>
      </w:r>
      <w:proofErr w:type="spellStart"/>
      <w:r w:rsidRPr="00AF1631">
        <w:rPr>
          <w:rFonts w:ascii="Consolas" w:hAnsi="Consolas" w:cs="Arial"/>
        </w:rPr>
        <w:t>verify</w:t>
      </w:r>
      <w:proofErr w:type="spellEnd"/>
      <w:r w:rsidRPr="00AF1631">
        <w:rPr>
          <w:rFonts w:ascii="Consolas" w:hAnsi="Consolas" w:cs="Arial"/>
        </w:rPr>
        <w:t xml:space="preserve"> </w:t>
      </w:r>
      <w:proofErr w:type="spellStart"/>
      <w:r w:rsidRPr="00AF1631">
        <w:rPr>
          <w:rFonts w:ascii="Consolas" w:hAnsi="Consolas" w:cs="Arial"/>
        </w:rPr>
        <w:t>mensaje.txt.sig</w:t>
      </w:r>
      <w:proofErr w:type="spellEnd"/>
      <w:r w:rsidRPr="00AF1631">
        <w:rPr>
          <w:rFonts w:ascii="Consolas" w:hAnsi="Consolas" w:cs="Arial"/>
        </w:rPr>
        <w:t xml:space="preserve"> mensaje.txt</w:t>
      </w:r>
      <w:r>
        <w:rPr>
          <w:rFonts w:ascii="Consolas" w:hAnsi="Consolas" w:cs="Arial"/>
        </w:rPr>
        <w:t>.</w:t>
      </w:r>
    </w:p>
    <w:p w14:paraId="7CD67CF2" w14:textId="77777777" w:rsidR="00F868D1" w:rsidRDefault="00F868D1" w:rsidP="00F868D1">
      <w:pPr>
        <w:spacing w:line="360" w:lineRule="auto"/>
        <w:jc w:val="center"/>
        <w:rPr>
          <w:rFonts w:ascii="Arial" w:hAnsi="Arial" w:cs="Arial"/>
        </w:rPr>
      </w:pPr>
      <w:r w:rsidRPr="00AF1631">
        <w:rPr>
          <w:rFonts w:ascii="Arial" w:hAnsi="Arial" w:cs="Arial"/>
          <w:noProof/>
        </w:rPr>
        <w:drawing>
          <wp:inline distT="0" distB="0" distL="0" distR="0" wp14:anchorId="1A119BFC" wp14:editId="3099C50D">
            <wp:extent cx="5577840" cy="674613"/>
            <wp:effectExtent l="0" t="0" r="0" b="0"/>
            <wp:docPr id="150026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63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761" cy="6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5D14" w14:textId="77777777" w:rsidR="00F868D1" w:rsidRDefault="00F868D1" w:rsidP="00F868D1">
      <w:pPr>
        <w:spacing w:line="360" w:lineRule="auto"/>
        <w:jc w:val="center"/>
        <w:rPr>
          <w:rFonts w:ascii="Arial" w:hAnsi="Arial" w:cs="Arial"/>
        </w:rPr>
      </w:pPr>
      <w:r w:rsidRPr="005254D6">
        <w:rPr>
          <w:b/>
          <w:bCs/>
        </w:rPr>
        <w:t>Figura 5.</w:t>
      </w:r>
      <w:r>
        <w:rPr>
          <w:b/>
          <w:bCs/>
        </w:rPr>
        <w:t xml:space="preserve">20. </w:t>
      </w:r>
      <w:r>
        <w:t>Verificación de la firma por parte del receptor.</w:t>
      </w:r>
    </w:p>
    <w:p w14:paraId="2FF3AA33" w14:textId="77777777" w:rsidR="00F868D1" w:rsidRPr="007069FC" w:rsidRDefault="00F868D1" w:rsidP="00F868D1">
      <w:pPr>
        <w:spacing w:line="36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</w:rPr>
        <w:t xml:space="preserve">En consecuencia, se observa que el archivo fue firmado por el emisor de forma correcta por </w:t>
      </w:r>
      <w:r>
        <w:rPr>
          <w:rFonts w:ascii="Arial" w:hAnsi="Arial" w:cs="Arial"/>
        </w:rPr>
        <w:lastRenderedPageBreak/>
        <w:t>el receptor, es decir, el documento no fue</w:t>
      </w:r>
      <w:r w:rsidRPr="007069FC">
        <w:rPr>
          <w:rFonts w:ascii="Arial" w:hAnsi="Arial" w:cs="Arial"/>
        </w:rPr>
        <w:t xml:space="preserve"> alterado </w:t>
      </w:r>
      <w:r>
        <w:rPr>
          <w:rFonts w:ascii="Arial" w:hAnsi="Arial" w:cs="Arial"/>
        </w:rPr>
        <w:t xml:space="preserve">y </w:t>
      </w:r>
      <w:r w:rsidRPr="007069FC">
        <w:rPr>
          <w:rFonts w:ascii="Arial" w:hAnsi="Arial" w:cs="Arial"/>
        </w:rPr>
        <w:t>la firma es válida</w:t>
      </w:r>
      <w:r>
        <w:rPr>
          <w:rFonts w:ascii="Arial" w:hAnsi="Arial" w:cs="Arial"/>
        </w:rPr>
        <w:t xml:space="preserve">. Además, se puede ver que para el </w:t>
      </w:r>
      <w:proofErr w:type="spellStart"/>
      <w:r>
        <w:rPr>
          <w:rFonts w:ascii="Arial" w:hAnsi="Arial" w:cs="Arial"/>
        </w:rPr>
        <w:t>rececptor</w:t>
      </w:r>
      <w:proofErr w:type="spellEnd"/>
      <w:r>
        <w:rPr>
          <w:rFonts w:ascii="Arial" w:hAnsi="Arial" w:cs="Arial"/>
        </w:rPr>
        <w:t xml:space="preserve"> la firma del emisor es confiable completamente dado que se presenta el mensaje </w:t>
      </w:r>
      <w:r w:rsidRPr="007069FC">
        <w:rPr>
          <w:rFonts w:ascii="Arial" w:hAnsi="Arial" w:cs="Arial"/>
          <w:lang w:val="es-EC"/>
        </w:rPr>
        <w:t>“</w:t>
      </w:r>
      <w:r>
        <w:rPr>
          <w:rFonts w:ascii="Arial" w:hAnsi="Arial" w:cs="Arial"/>
          <w:lang w:val="es-EC"/>
        </w:rPr>
        <w:t>absoluta”</w:t>
      </w:r>
    </w:p>
    <w:p w14:paraId="31D52984" w14:textId="77777777" w:rsidR="00F868D1" w:rsidRDefault="00F868D1" w:rsidP="00F868D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otro lado, los casos de uso son los siguientes:</w:t>
      </w:r>
    </w:p>
    <w:p w14:paraId="59A66F43" w14:textId="77777777" w:rsidR="00F868D1" w:rsidRPr="00AF1631" w:rsidRDefault="00F868D1" w:rsidP="00F868D1">
      <w:pPr>
        <w:spacing w:line="360" w:lineRule="auto"/>
        <w:jc w:val="both"/>
        <w:rPr>
          <w:rFonts w:ascii="Arial" w:hAnsi="Arial" w:cs="Arial"/>
          <w:b/>
          <w:bCs/>
          <w:lang w:val="es-EC"/>
        </w:rPr>
      </w:pPr>
      <w:r w:rsidRPr="00AF1631">
        <w:rPr>
          <w:rFonts w:ascii="Arial" w:hAnsi="Arial" w:cs="Arial"/>
          <w:b/>
          <w:bCs/>
          <w:lang w:val="es-EC"/>
        </w:rPr>
        <w:t>Garantizar integridad sin modificar el archivo original</w:t>
      </w:r>
    </w:p>
    <w:p w14:paraId="61075406" w14:textId="77777777" w:rsidR="00F868D1" w:rsidRPr="00AF1631" w:rsidRDefault="00F868D1" w:rsidP="00F868D1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Arial" w:hAnsi="Arial" w:cs="Arial"/>
          <w:lang w:val="es-EC"/>
        </w:rPr>
      </w:pPr>
      <w:r w:rsidRPr="00AF1631">
        <w:rPr>
          <w:rFonts w:ascii="Arial" w:hAnsi="Arial" w:cs="Arial"/>
          <w:lang w:val="es-EC"/>
        </w:rPr>
        <w:t>Se emplea cuando es necesario verificar la autenticidad de un archivo sin alterar su contenido.</w:t>
      </w:r>
    </w:p>
    <w:p w14:paraId="712F5F97" w14:textId="77777777" w:rsidR="00F868D1" w:rsidRPr="00AF1631" w:rsidRDefault="00F868D1" w:rsidP="00F868D1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Arial" w:hAnsi="Arial" w:cs="Arial"/>
          <w:b/>
          <w:bCs/>
          <w:lang w:val="es-EC"/>
        </w:rPr>
      </w:pPr>
      <w:r w:rsidRPr="00AF1631">
        <w:rPr>
          <w:rFonts w:ascii="Arial" w:hAnsi="Arial" w:cs="Arial"/>
          <w:lang w:val="es-EC"/>
        </w:rPr>
        <w:t xml:space="preserve">Es especialmente útil en auditorías de seguridad y en la protección de documentos </w:t>
      </w:r>
      <w:r w:rsidRPr="007069FC">
        <w:rPr>
          <w:rFonts w:ascii="Arial" w:hAnsi="Arial" w:cs="Arial"/>
          <w:lang w:val="es-EC"/>
        </w:rPr>
        <w:t>oficiales.</w:t>
      </w:r>
    </w:p>
    <w:p w14:paraId="417315E6" w14:textId="77777777" w:rsidR="00F868D1" w:rsidRPr="00AF1631" w:rsidRDefault="00F868D1" w:rsidP="00F868D1">
      <w:pPr>
        <w:spacing w:line="360" w:lineRule="auto"/>
        <w:jc w:val="both"/>
        <w:rPr>
          <w:rFonts w:ascii="Arial" w:hAnsi="Arial" w:cs="Arial"/>
          <w:b/>
          <w:bCs/>
          <w:lang w:val="es-EC"/>
        </w:rPr>
      </w:pPr>
      <w:r w:rsidRPr="00AF1631">
        <w:rPr>
          <w:rFonts w:ascii="Arial" w:hAnsi="Arial" w:cs="Arial"/>
          <w:b/>
          <w:bCs/>
          <w:lang w:val="es-EC"/>
        </w:rPr>
        <w:t>Distribución de Software Seguro</w:t>
      </w:r>
    </w:p>
    <w:p w14:paraId="771BDDB6" w14:textId="77777777" w:rsidR="00F868D1" w:rsidRPr="00AF1631" w:rsidRDefault="00F868D1" w:rsidP="00F868D1">
      <w:pPr>
        <w:pStyle w:val="ListParagraph"/>
        <w:numPr>
          <w:ilvl w:val="0"/>
          <w:numId w:val="5"/>
        </w:numPr>
        <w:spacing w:line="360" w:lineRule="auto"/>
        <w:contextualSpacing w:val="0"/>
        <w:jc w:val="both"/>
        <w:rPr>
          <w:rFonts w:ascii="Arial" w:hAnsi="Arial" w:cs="Arial"/>
          <w:lang w:val="es-EC"/>
        </w:rPr>
      </w:pPr>
      <w:r w:rsidRPr="00AF1631">
        <w:rPr>
          <w:rFonts w:ascii="Arial" w:hAnsi="Arial" w:cs="Arial"/>
          <w:lang w:val="es-EC"/>
        </w:rPr>
        <w:t>Muchos proyectos de código abierto utilizan archivos .</w:t>
      </w:r>
      <w:proofErr w:type="spellStart"/>
      <w:r w:rsidRPr="00AF1631">
        <w:rPr>
          <w:rFonts w:ascii="Arial" w:hAnsi="Arial" w:cs="Arial"/>
          <w:lang w:val="es-EC"/>
        </w:rPr>
        <w:t>sig</w:t>
      </w:r>
      <w:proofErr w:type="spellEnd"/>
      <w:r w:rsidRPr="00AF1631">
        <w:rPr>
          <w:rFonts w:ascii="Arial" w:hAnsi="Arial" w:cs="Arial"/>
          <w:lang w:val="es-EC"/>
        </w:rPr>
        <w:t xml:space="preserve"> junto con sus paquetes para que los usuarios puedan validar su autenticidad.</w:t>
      </w:r>
    </w:p>
    <w:p w14:paraId="03158210" w14:textId="77777777" w:rsidR="00F868D1" w:rsidRPr="00AF1631" w:rsidRDefault="00F868D1" w:rsidP="00F868D1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Arial" w:hAnsi="Arial" w:cs="Arial"/>
          <w:lang w:val="es-EC"/>
        </w:rPr>
      </w:pPr>
      <w:r w:rsidRPr="00AF1631">
        <w:rPr>
          <w:rFonts w:ascii="Arial" w:hAnsi="Arial" w:cs="Arial"/>
          <w:lang w:val="es-EC"/>
        </w:rPr>
        <w:t xml:space="preserve">Ejemplo: Distribuciones como Debian, Fedora y </w:t>
      </w:r>
      <w:proofErr w:type="spellStart"/>
      <w:r w:rsidRPr="00AF1631">
        <w:rPr>
          <w:rFonts w:ascii="Arial" w:hAnsi="Arial" w:cs="Arial"/>
          <w:lang w:val="es-EC"/>
        </w:rPr>
        <w:t>Arch</w:t>
      </w:r>
      <w:proofErr w:type="spellEnd"/>
      <w:r w:rsidRPr="00AF1631">
        <w:rPr>
          <w:rFonts w:ascii="Arial" w:hAnsi="Arial" w:cs="Arial"/>
          <w:lang w:val="es-EC"/>
        </w:rPr>
        <w:t xml:space="preserve"> Linux publican firmas digitales separadas para garantizar la integridad de los paquetes antes de su instalación.</w:t>
      </w:r>
    </w:p>
    <w:p w14:paraId="6B2B4580" w14:textId="77777777" w:rsidR="00F868D1" w:rsidRPr="00AF1631" w:rsidRDefault="00F868D1" w:rsidP="00F868D1">
      <w:pPr>
        <w:spacing w:line="360" w:lineRule="auto"/>
        <w:jc w:val="both"/>
        <w:rPr>
          <w:rFonts w:ascii="Arial" w:hAnsi="Arial" w:cs="Arial"/>
          <w:b/>
          <w:bCs/>
          <w:lang w:val="es-EC"/>
        </w:rPr>
      </w:pPr>
      <w:r w:rsidRPr="00AF1631">
        <w:rPr>
          <w:rFonts w:ascii="Arial" w:hAnsi="Arial" w:cs="Arial"/>
          <w:b/>
          <w:bCs/>
          <w:lang w:val="es-EC"/>
        </w:rPr>
        <w:t>Mensajes Firmados sin Cifrar</w:t>
      </w:r>
    </w:p>
    <w:p w14:paraId="7616275A" w14:textId="77777777" w:rsidR="00F868D1" w:rsidRPr="00AF1631" w:rsidRDefault="00F868D1" w:rsidP="00F868D1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rFonts w:ascii="Arial" w:hAnsi="Arial" w:cs="Arial"/>
          <w:lang w:val="es-EC"/>
        </w:rPr>
      </w:pPr>
      <w:r w:rsidRPr="00AF1631">
        <w:rPr>
          <w:rFonts w:ascii="Arial" w:hAnsi="Arial" w:cs="Arial"/>
          <w:lang w:val="es-EC"/>
        </w:rPr>
        <w:t>Permite que cualquier persona acceda al contenido sin requerir una clave privada, pero manteniendo la capacidad de verificar la autenticidad del mensaje.</w:t>
      </w:r>
    </w:p>
    <w:p w14:paraId="4AF08F2C" w14:textId="77777777" w:rsidR="00F868D1" w:rsidRPr="00AF1631" w:rsidRDefault="00F868D1" w:rsidP="00F868D1">
      <w:pPr>
        <w:spacing w:line="360" w:lineRule="auto"/>
        <w:jc w:val="both"/>
        <w:rPr>
          <w:rFonts w:ascii="Arial" w:hAnsi="Arial" w:cs="Arial"/>
          <w:b/>
          <w:bCs/>
          <w:lang w:val="es-EC"/>
        </w:rPr>
      </w:pPr>
      <w:r w:rsidRPr="00AF1631">
        <w:rPr>
          <w:rFonts w:ascii="Arial" w:hAnsi="Arial" w:cs="Arial"/>
          <w:b/>
          <w:bCs/>
          <w:lang w:val="es-EC"/>
        </w:rPr>
        <w:t>Verificación de Archivos Grandes</w:t>
      </w:r>
    </w:p>
    <w:p w14:paraId="09B15EFC" w14:textId="77777777" w:rsidR="00F868D1" w:rsidRDefault="00F868D1" w:rsidP="00F868D1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rFonts w:ascii="Arial" w:hAnsi="Arial" w:cs="Arial"/>
          <w:lang w:val="es-EC"/>
        </w:rPr>
      </w:pPr>
      <w:r w:rsidRPr="00AF1631">
        <w:rPr>
          <w:rFonts w:ascii="Arial" w:hAnsi="Arial" w:cs="Arial"/>
          <w:lang w:val="es-EC"/>
        </w:rPr>
        <w:t>Evita la necesidad de modificar archivos de gran tamaño, facilitando su verificación sin afectar su estructura o contenido.</w:t>
      </w:r>
    </w:p>
    <w:p w14:paraId="73E92EE9" w14:textId="77777777" w:rsidR="00C5779B" w:rsidRPr="00F868D1" w:rsidRDefault="00C5779B">
      <w:pPr>
        <w:rPr>
          <w:lang w:val="es-EC"/>
        </w:rPr>
      </w:pPr>
    </w:p>
    <w:sectPr w:rsidR="00C5779B" w:rsidRPr="00F8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3297"/>
    <w:multiLevelType w:val="hybridMultilevel"/>
    <w:tmpl w:val="DA70A9A6"/>
    <w:lvl w:ilvl="0" w:tplc="300A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D3D5734"/>
    <w:multiLevelType w:val="hybridMultilevel"/>
    <w:tmpl w:val="7444D69A"/>
    <w:lvl w:ilvl="0" w:tplc="300A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586F6C49"/>
    <w:multiLevelType w:val="hybridMultilevel"/>
    <w:tmpl w:val="8244E7BC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F4D1C85"/>
    <w:multiLevelType w:val="hybridMultilevel"/>
    <w:tmpl w:val="9FAE5DB2"/>
    <w:lvl w:ilvl="0" w:tplc="30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74F1"/>
    <w:multiLevelType w:val="hybridMultilevel"/>
    <w:tmpl w:val="F16A1756"/>
    <w:lvl w:ilvl="0" w:tplc="300A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658724862">
    <w:abstractNumId w:val="2"/>
  </w:num>
  <w:num w:numId="2" w16cid:durableId="1017274480">
    <w:abstractNumId w:val="3"/>
  </w:num>
  <w:num w:numId="3" w16cid:durableId="1277903076">
    <w:abstractNumId w:val="1"/>
  </w:num>
  <w:num w:numId="4" w16cid:durableId="32968671">
    <w:abstractNumId w:val="0"/>
  </w:num>
  <w:num w:numId="5" w16cid:durableId="1548644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D1"/>
    <w:rsid w:val="000403AD"/>
    <w:rsid w:val="000840E7"/>
    <w:rsid w:val="00374B30"/>
    <w:rsid w:val="00C5779B"/>
    <w:rsid w:val="00F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1308"/>
  <w15:chartTrackingRefBased/>
  <w15:docId w15:val="{DFF31C18-6712-44D6-899E-526FF9B9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D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D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868D1"/>
  </w:style>
  <w:style w:type="character" w:customStyle="1" w:styleId="BodyTextChar">
    <w:name w:val="Body Text Char"/>
    <w:basedOn w:val="DefaultParagraphFont"/>
    <w:link w:val="BodyText"/>
    <w:uiPriority w:val="1"/>
    <w:rsid w:val="00F868D1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1</cp:revision>
  <dcterms:created xsi:type="dcterms:W3CDTF">2025-01-27T01:51:00Z</dcterms:created>
  <dcterms:modified xsi:type="dcterms:W3CDTF">2025-01-27T01:51:00Z</dcterms:modified>
</cp:coreProperties>
</file>