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747B" w:rsidRDefault="00155B38">
      <w:pPr>
        <w:pStyle w:val="Ttulo"/>
      </w:pPr>
      <w:bookmarkStart w:id="0" w:name="_g8f0jmdqgcdf" w:colFirst="0" w:colLast="0"/>
      <w:bookmarkEnd w:id="0"/>
      <w:r>
        <w:t>Glossário</w:t>
      </w:r>
    </w:p>
    <w:p w:rsidR="004F747B" w:rsidRDefault="004F747B">
      <w:pPr>
        <w:rPr>
          <w:b/>
        </w:rPr>
      </w:pPr>
    </w:p>
    <w:p w:rsidR="004F747B" w:rsidRDefault="004F747B">
      <w:pPr>
        <w:rPr>
          <w:b/>
        </w:rPr>
      </w:pPr>
    </w:p>
    <w:tbl>
      <w:tblPr>
        <w:tblStyle w:val="GradeClara-nfase6"/>
        <w:tblpPr w:leftFromText="141" w:rightFromText="141" w:vertAnchor="text" w:tblpY="1"/>
        <w:tblOverlap w:val="never"/>
        <w:tblW w:w="883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890"/>
        <w:gridCol w:w="16"/>
        <w:gridCol w:w="9"/>
      </w:tblGrid>
      <w:tr w:rsidR="000B0E4D" w:rsidTr="0092023D">
        <w:trPr>
          <w:trHeight w:val="560"/>
        </w:trPr>
        <w:tc>
          <w:tcPr>
            <w:tcW w:w="1920" w:type="dxa"/>
            <w:shd w:val="clear" w:color="auto" w:fill="8DB3E2" w:themeFill="text2" w:themeFillTint="66"/>
          </w:tcPr>
          <w:p w:rsidR="000B0E4D" w:rsidRPr="000B0E4D" w:rsidRDefault="000B0E4D" w:rsidP="0092023D">
            <w:pPr>
              <w:widowControl w:val="0"/>
              <w:spacing w:line="276" w:lineRule="auto"/>
              <w:rPr>
                <w:b/>
              </w:rPr>
            </w:pPr>
            <w:r w:rsidRPr="000B0E4D">
              <w:rPr>
                <w:b/>
              </w:rPr>
              <w:t>Termo, Conceito ou Abreviação</w:t>
            </w:r>
          </w:p>
        </w:tc>
        <w:tc>
          <w:tcPr>
            <w:tcW w:w="6915" w:type="dxa"/>
            <w:gridSpan w:val="3"/>
            <w:shd w:val="clear" w:color="auto" w:fill="8DB3E2" w:themeFill="text2" w:themeFillTint="66"/>
          </w:tcPr>
          <w:p w:rsidR="000B0E4D" w:rsidRPr="000B0E4D" w:rsidRDefault="000B0E4D" w:rsidP="0092023D">
            <w:pPr>
              <w:widowControl w:val="0"/>
              <w:spacing w:line="276" w:lineRule="auto"/>
              <w:rPr>
                <w:b/>
              </w:rPr>
            </w:pPr>
            <w:r w:rsidRPr="000B0E4D">
              <w:rPr>
                <w:b/>
              </w:rPr>
              <w:t>Definição</w:t>
            </w:r>
          </w:p>
        </w:tc>
      </w:tr>
      <w:tr w:rsidR="006E33F9" w:rsidTr="0092023D">
        <w:trPr>
          <w:gridAfter w:val="1"/>
          <w:wAfter w:w="9" w:type="dxa"/>
          <w:trHeight w:val="1146"/>
        </w:trPr>
        <w:tc>
          <w:tcPr>
            <w:tcW w:w="1920" w:type="dxa"/>
          </w:tcPr>
          <w:p w:rsidR="006E33F9" w:rsidRPr="0092023D" w:rsidRDefault="007C4CEB" w:rsidP="009202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Theme="minorHAnsi" w:hAnsiTheme="minorHAnsi"/>
                <w:b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Excursão</w:t>
            </w:r>
          </w:p>
        </w:tc>
        <w:tc>
          <w:tcPr>
            <w:tcW w:w="6906" w:type="dxa"/>
            <w:gridSpan w:val="2"/>
          </w:tcPr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rPr>
                <w:rFonts w:asciiTheme="minorHAnsi" w:hAnsiTheme="minorHAnsi"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Viagem com fins turísticos, culturais ou outros, organizada em grupo, com regresso ao ponto de origem. Inclui normalmente todos os serviços básicos (</w:t>
            </w:r>
            <w:proofErr w:type="spell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ex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: assistência de guia, alimentação, entradas em museus, entre outros).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Fonts w:asciiTheme="minorHAnsi" w:hAnsiTheme="minorHAnsi"/>
                <w:bCs/>
                <w:color w:val="auto"/>
              </w:rPr>
              <w:t> </w:t>
            </w:r>
          </w:p>
          <w:p w:rsidR="006E33F9" w:rsidRPr="0092023D" w:rsidRDefault="006E33F9" w:rsidP="0092023D">
            <w:pPr>
              <w:rPr>
                <w:rFonts w:asciiTheme="minorHAnsi" w:hAnsiTheme="minorHAnsi"/>
                <w:color w:val="auto"/>
              </w:rPr>
            </w:pPr>
          </w:p>
        </w:tc>
      </w:tr>
      <w:tr w:rsidR="006E33F9" w:rsidTr="0092023D">
        <w:trPr>
          <w:gridAfter w:val="1"/>
          <w:wAfter w:w="9" w:type="dxa"/>
          <w:trHeight w:val="1130"/>
        </w:trPr>
        <w:tc>
          <w:tcPr>
            <w:tcW w:w="1920" w:type="dxa"/>
          </w:tcPr>
          <w:p w:rsidR="006E33F9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Fare</w:t>
            </w:r>
            <w:bookmarkStart w:id="1" w:name="_GoBack"/>
            <w:bookmarkEnd w:id="1"/>
          </w:p>
        </w:tc>
        <w:tc>
          <w:tcPr>
            <w:tcW w:w="6906" w:type="dxa"/>
            <w:gridSpan w:val="2"/>
          </w:tcPr>
          <w:p w:rsidR="006E33F9" w:rsidRPr="0092023D" w:rsidRDefault="007C4CEB" w:rsidP="0092023D">
            <w:pPr>
              <w:rPr>
                <w:rFonts w:asciiTheme="minorHAnsi" w:hAnsiTheme="minorHAnsi"/>
                <w:color w:val="auto"/>
              </w:rPr>
            </w:pPr>
            <w:r w:rsidRPr="0092023D">
              <w:rPr>
                <w:rFonts w:asciiTheme="minorHAnsi" w:hAnsiTheme="minorHAnsi"/>
                <w:color w:val="auto"/>
              </w:rPr>
              <w:t>Tarifa paga por qualquer viagem ou serviço</w:t>
            </w:r>
          </w:p>
        </w:tc>
      </w:tr>
      <w:tr w:rsidR="006E33F9" w:rsidTr="0092023D">
        <w:trPr>
          <w:gridAfter w:val="1"/>
          <w:wAfter w:w="9" w:type="dxa"/>
          <w:trHeight w:val="1177"/>
        </w:trPr>
        <w:tc>
          <w:tcPr>
            <w:tcW w:w="1920" w:type="dxa"/>
          </w:tcPr>
          <w:p w:rsidR="006E33F9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Garantia</w:t>
            </w:r>
          </w:p>
        </w:tc>
        <w:tc>
          <w:tcPr>
            <w:tcW w:w="6906" w:type="dxa"/>
            <w:gridSpan w:val="2"/>
          </w:tcPr>
          <w:p w:rsidR="006E33F9" w:rsidRPr="0092023D" w:rsidRDefault="007C4CEB" w:rsidP="0092023D">
            <w:pPr>
              <w:rPr>
                <w:rFonts w:asciiTheme="minorHAnsi" w:hAnsiTheme="minorHAnsi"/>
                <w:color w:val="auto"/>
              </w:rPr>
            </w:pPr>
            <w:r w:rsidRPr="0092023D">
              <w:rPr>
                <w:rFonts w:asciiTheme="minorHAnsi" w:hAnsiTheme="minorHAnsi"/>
                <w:color w:val="auto"/>
              </w:rPr>
              <w:t xml:space="preserve">Montante exigido normalmente por uma unidade de alojamento por um serviço a uma agência de viagens ou operador turístico para segurança de pagamento. Esta surge quando a parte hoteleira está em posição negocial suficientemente forte por assim o exigir, ou porque a agência de viagens ou o operador turístico estão tão convictos do seu poder de venda que querem tirar alguma contrapartida desse potencial e pagam o alojamento com bastante antecedência para beneficiar de grandes descontos. Há uma baixa de preços em relação à política de </w:t>
            </w:r>
            <w:proofErr w:type="spellStart"/>
            <w:r w:rsidRPr="0092023D">
              <w:rPr>
                <w:rFonts w:asciiTheme="minorHAnsi" w:hAnsiTheme="minorHAnsi"/>
                <w:color w:val="auto"/>
              </w:rPr>
              <w:t>allotment</w:t>
            </w:r>
            <w:proofErr w:type="spellEnd"/>
            <w:r w:rsidRPr="0092023D">
              <w:rPr>
                <w:rFonts w:asciiTheme="minorHAnsi" w:hAnsiTheme="minorHAnsi"/>
                <w:color w:val="auto"/>
              </w:rPr>
              <w:t>, que pode cifrar-se entre 20% e 30%. A extensão da garantia depende do risco assumido e pode ir até 100% (garantia em bloco). Desta forma, o risco é do lado do operador turístico na medida em que o pagamento é irreversível, independentemente de qualquer ocupação.</w:t>
            </w:r>
          </w:p>
        </w:tc>
      </w:tr>
      <w:tr w:rsidR="003E6EE3" w:rsidTr="0092023D">
        <w:trPr>
          <w:gridAfter w:val="2"/>
          <w:wAfter w:w="25" w:type="dxa"/>
          <w:trHeight w:val="1006"/>
        </w:trPr>
        <w:tc>
          <w:tcPr>
            <w:tcW w:w="1920" w:type="dxa"/>
          </w:tcPr>
          <w:p w:rsidR="003E6EE3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proofErr w:type="spellStart"/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Itinerary</w:t>
            </w:r>
            <w:proofErr w:type="spellEnd"/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 xml:space="preserve"> </w:t>
            </w:r>
            <w:proofErr w:type="spellStart"/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pad</w:t>
            </w:r>
            <w:proofErr w:type="spellEnd"/>
          </w:p>
        </w:tc>
        <w:tc>
          <w:tcPr>
            <w:tcW w:w="6890" w:type="dxa"/>
          </w:tcPr>
          <w:p w:rsidR="003E6EE3" w:rsidRPr="0092023D" w:rsidRDefault="007C4CEB" w:rsidP="0092023D">
            <w:pPr>
              <w:rPr>
                <w:rFonts w:asciiTheme="minorHAnsi" w:hAnsiTheme="minorHAnsi"/>
                <w:color w:val="auto"/>
              </w:rPr>
            </w:pPr>
            <w:r w:rsidRPr="0092023D">
              <w:rPr>
                <w:rFonts w:asciiTheme="minorHAnsi" w:hAnsiTheme="minorHAnsi"/>
                <w:color w:val="auto"/>
              </w:rPr>
              <w:t>Descrição do itinerário (viagem por segmentos)</w:t>
            </w:r>
          </w:p>
        </w:tc>
      </w:tr>
      <w:tr w:rsidR="003E6EE3" w:rsidTr="0092023D">
        <w:trPr>
          <w:gridAfter w:val="2"/>
          <w:wAfter w:w="25" w:type="dxa"/>
          <w:trHeight w:val="1006"/>
        </w:trPr>
        <w:tc>
          <w:tcPr>
            <w:tcW w:w="1920" w:type="dxa"/>
          </w:tcPr>
          <w:p w:rsidR="003E6EE3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Pacote turístico (</w:t>
            </w:r>
            <w:proofErr w:type="spellStart"/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package</w:t>
            </w:r>
            <w:proofErr w:type="spellEnd"/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)</w:t>
            </w:r>
          </w:p>
        </w:tc>
        <w:tc>
          <w:tcPr>
            <w:tcW w:w="6890" w:type="dxa"/>
          </w:tcPr>
          <w:p w:rsidR="003E6EE3" w:rsidRPr="0092023D" w:rsidRDefault="007C4CEB" w:rsidP="0092023D">
            <w:pPr>
              <w:rPr>
                <w:rFonts w:asciiTheme="minorHAnsi" w:hAnsiTheme="minorHAnsi"/>
                <w:color w:val="auto"/>
              </w:rPr>
            </w:pPr>
            <w:r w:rsidRPr="0092023D">
              <w:rPr>
                <w:rFonts w:asciiTheme="minorHAnsi" w:hAnsiTheme="minorHAnsi"/>
                <w:color w:val="auto"/>
              </w:rPr>
              <w:t xml:space="preserve">É a combinação de dois ou mais elementos vendidos como produtos isolados, por um preço conjunto, cujos custos individuais de cada produto não é </w:t>
            </w:r>
            <w:proofErr w:type="gramStart"/>
            <w:r w:rsidRPr="0092023D">
              <w:rPr>
                <w:rFonts w:asciiTheme="minorHAnsi" w:hAnsiTheme="minorHAnsi"/>
                <w:color w:val="auto"/>
              </w:rPr>
              <w:t>identificável</w:t>
            </w:r>
            <w:proofErr w:type="gramEnd"/>
            <w:r w:rsidRPr="0092023D">
              <w:rPr>
                <w:rFonts w:asciiTheme="minorHAnsi" w:hAnsiTheme="minorHAnsi"/>
                <w:color w:val="auto"/>
              </w:rPr>
              <w:t xml:space="preserve"> separadamente. De acordo com o Decreto-Lei n.º 199/2012, de 24 de agosto, viagens turísticas (que podemos associar a pacotes turísticos) combinam pelo menos dois dos serviços seguintes: Transporte; Alojamento; e/ou Serviços turísticos não subsidiários do transporte </w:t>
            </w:r>
            <w:proofErr w:type="spellStart"/>
            <w:r w:rsidRPr="0092023D">
              <w:rPr>
                <w:rFonts w:asciiTheme="minorHAnsi" w:hAnsiTheme="minorHAnsi"/>
                <w:color w:val="auto"/>
              </w:rPr>
              <w:t>edo</w:t>
            </w:r>
            <w:proofErr w:type="spellEnd"/>
            <w:r w:rsidRPr="0092023D">
              <w:rPr>
                <w:rFonts w:asciiTheme="minorHAnsi" w:hAnsiTheme="minorHAnsi"/>
                <w:color w:val="auto"/>
              </w:rPr>
              <w:t xml:space="preserve"> alojamento.</w:t>
            </w:r>
          </w:p>
        </w:tc>
      </w:tr>
      <w:tr w:rsidR="000B0E4D" w:rsidTr="0092023D">
        <w:trPr>
          <w:gridAfter w:val="1"/>
          <w:wAfter w:w="9" w:type="dxa"/>
          <w:trHeight w:val="1177"/>
        </w:trPr>
        <w:tc>
          <w:tcPr>
            <w:tcW w:w="1920" w:type="dxa"/>
          </w:tcPr>
          <w:p w:rsidR="000B0E4D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Preços/Tarifas/Rate</w:t>
            </w:r>
          </w:p>
        </w:tc>
        <w:tc>
          <w:tcPr>
            <w:tcW w:w="6906" w:type="dxa"/>
            <w:gridSpan w:val="2"/>
          </w:tcPr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rPr>
                <w:rFonts w:asciiTheme="minorHAnsi" w:hAnsiTheme="minorHAnsi"/>
                <w:color w:val="auto"/>
              </w:rPr>
            </w:pPr>
            <w:proofErr w:type="spellStart"/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Flate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 xml:space="preserve"> Rate: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 Tarifa não </w:t>
            </w:r>
            <w:proofErr w:type="spell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comissionável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PVP: 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Preço de venda ao Público (Preço de Balcão).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Preço Corporate: 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Preço para Empresa.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 xml:space="preserve">Preço </w:t>
            </w:r>
            <w:proofErr w:type="spellStart"/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Comissionável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: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 Preço praticado pelo Produtor normalmente aos intermediários turísticos, dando-lhes uma comissão económica sobre o PVP.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Preço Net: 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Preço fixo (em que o Agente de Viagens ou Operador Turístico pode colocar a sua margem de lucro).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Preço de Época/Sazonal (</w:t>
            </w:r>
            <w:proofErr w:type="spellStart"/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seasonal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 xml:space="preserve"> rates):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 Preços que variam consoante a estação (Alta, Média e Baixa</w:t>
            </w:r>
            <w:proofErr w:type="gram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)</w:t>
            </w:r>
            <w:proofErr w:type="gramEnd"/>
          </w:p>
          <w:p w:rsidR="000B0E4D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rPr>
                <w:rFonts w:asciiTheme="minorHAnsi" w:hAnsiTheme="minorHAnsi"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Preço Promocional: 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Preços normalmente reservados para as agências de 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lastRenderedPageBreak/>
              <w:t>viagens e operadores turísticos</w:t>
            </w:r>
          </w:p>
        </w:tc>
      </w:tr>
      <w:tr w:rsidR="000B0E4D" w:rsidTr="0092023D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lastRenderedPageBreak/>
              <w:t>Release</w:t>
            </w:r>
          </w:p>
        </w:tc>
        <w:tc>
          <w:tcPr>
            <w:tcW w:w="6890" w:type="dxa"/>
          </w:tcPr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rPr>
                <w:rFonts w:asciiTheme="minorHAnsi" w:hAnsiTheme="minorHAnsi"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Termo utilizado habitualmente nos sistemas de </w:t>
            </w:r>
            <w:proofErr w:type="spell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allotment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, que consiste na devolução ou prazo de devolução das disponibilidades do espaço não vendido dentro dos prazos estabelecidos em contrato, pelo operador turístico ou agente de viagens com quem a unidade hoteleira ou companhia aérea tinha acordo. O release varia consoante o acordado em contrato, podendo ir de 24 horas a </w:t>
            </w:r>
            <w:proofErr w:type="gram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3</w:t>
            </w:r>
            <w:proofErr w:type="gram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 meses ou superior.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Fonts w:asciiTheme="minorHAnsi" w:hAnsiTheme="minorHAnsi"/>
                <w:bCs/>
                <w:color w:val="auto"/>
              </w:rPr>
              <w:t> </w:t>
            </w:r>
          </w:p>
          <w:p w:rsidR="000B0E4D" w:rsidRPr="0092023D" w:rsidRDefault="000B0E4D" w:rsidP="0092023D">
            <w:pPr>
              <w:rPr>
                <w:rFonts w:asciiTheme="minorHAnsi" w:hAnsiTheme="minorHAnsi"/>
                <w:color w:val="auto"/>
              </w:rPr>
            </w:pPr>
          </w:p>
        </w:tc>
      </w:tr>
      <w:tr w:rsidR="00122859" w:rsidTr="0092023D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Schedule Service</w:t>
            </w:r>
          </w:p>
        </w:tc>
        <w:tc>
          <w:tcPr>
            <w:tcW w:w="6890" w:type="dxa"/>
          </w:tcPr>
          <w:p w:rsidR="00122859" w:rsidRPr="0092023D" w:rsidRDefault="007C4CEB" w:rsidP="0092023D">
            <w:pPr>
              <w:rPr>
                <w:rFonts w:asciiTheme="minorHAnsi" w:hAnsiTheme="minorHAnsi"/>
                <w:color w:val="auto"/>
              </w:rPr>
            </w:pPr>
            <w:r w:rsidRPr="0092023D">
              <w:rPr>
                <w:rFonts w:asciiTheme="minorHAnsi" w:hAnsiTheme="minorHAnsi"/>
                <w:color w:val="auto"/>
              </w:rPr>
              <w:t>Qualquer serviço ou transporte que tem um horário regular</w:t>
            </w:r>
          </w:p>
        </w:tc>
      </w:tr>
      <w:tr w:rsidR="0092023D" w:rsidTr="0092023D">
        <w:trPr>
          <w:gridAfter w:val="2"/>
          <w:wAfter w:w="25" w:type="dxa"/>
          <w:trHeight w:val="1006"/>
        </w:trPr>
        <w:tc>
          <w:tcPr>
            <w:tcW w:w="1920" w:type="dxa"/>
          </w:tcPr>
          <w:p w:rsidR="0092023D" w:rsidRPr="0092023D" w:rsidRDefault="0092023D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b/>
                <w:bCs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 xml:space="preserve">Traslado / </w:t>
            </w:r>
            <w:proofErr w:type="spellStart"/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transfer</w:t>
            </w:r>
            <w:proofErr w:type="spellEnd"/>
          </w:p>
        </w:tc>
        <w:tc>
          <w:tcPr>
            <w:tcW w:w="6890" w:type="dxa"/>
          </w:tcPr>
          <w:p w:rsidR="0092023D" w:rsidRPr="0092023D" w:rsidRDefault="0092023D" w:rsidP="0092023D">
            <w:pPr>
              <w:rPr>
                <w:rFonts w:asciiTheme="minorHAnsi" w:hAnsiTheme="minorHAnsi"/>
                <w:color w:val="auto"/>
              </w:rPr>
            </w:pPr>
            <w:r w:rsidRPr="0092023D">
              <w:rPr>
                <w:rFonts w:asciiTheme="minorHAnsi" w:hAnsiTheme="minorHAnsi"/>
                <w:color w:val="auto"/>
              </w:rPr>
              <w:t xml:space="preserve">É o transporte terrestre de um passageiro. Pode ser “in / out”, quando tratar-se do traslado de chegada / saída de um passageiro, em determinada cidade </w:t>
            </w:r>
            <w:proofErr w:type="gramStart"/>
            <w:r w:rsidRPr="0092023D">
              <w:rPr>
                <w:rFonts w:asciiTheme="minorHAnsi" w:hAnsiTheme="minorHAnsi"/>
                <w:color w:val="auto"/>
              </w:rPr>
              <w:t xml:space="preserve">( </w:t>
            </w:r>
            <w:proofErr w:type="gramEnd"/>
            <w:r w:rsidRPr="0092023D">
              <w:rPr>
                <w:rFonts w:asciiTheme="minorHAnsi" w:hAnsiTheme="minorHAnsi"/>
                <w:color w:val="auto"/>
              </w:rPr>
              <w:t>transporte do Aeroporto até o hotel e vice-versa).</w:t>
            </w:r>
          </w:p>
        </w:tc>
      </w:tr>
      <w:tr w:rsidR="00122859" w:rsidTr="0092023D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Pr="0092023D" w:rsidRDefault="007C4CEB" w:rsidP="00920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17365D" w:themeColor="text2" w:themeShade="BF"/>
              </w:rPr>
            </w:pPr>
            <w:r w:rsidRPr="0092023D">
              <w:rPr>
                <w:rFonts w:asciiTheme="minorHAnsi" w:hAnsiTheme="minorHAnsi"/>
                <w:b/>
                <w:bCs/>
                <w:color w:val="17365D" w:themeColor="text2" w:themeShade="BF"/>
              </w:rPr>
              <w:t>Viagens</w:t>
            </w:r>
          </w:p>
        </w:tc>
        <w:tc>
          <w:tcPr>
            <w:tcW w:w="6890" w:type="dxa"/>
          </w:tcPr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rPr>
                <w:rFonts w:asciiTheme="minorHAnsi" w:hAnsiTheme="minorHAnsi"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Viagens turísticas: 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são aquelas em que </w:t>
            </w:r>
            <w:proofErr w:type="spell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seccombinam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 pelo menos dois dos serviços seguintes: a) Transporte; b) Alojamento; c) Serviços turísticos não subsidiários do transporte </w:t>
            </w:r>
            <w:proofErr w:type="spell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edo</w:t>
            </w:r>
            <w:proofErr w:type="spell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 alojamento (Decreto-Lei n.º 199/2012, de 24 de agosto).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proofErr w:type="gramStart"/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Viagens Turísticas Organizadas: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 são as viagens que, combinando previamente pelo menos dois dos serviços seguintes, sejam vendidas ou propostas para venda a um preço com tudo incluído, quando excedam vinte e quatro horas ou incluam uma dormida: a) Transporte; b)</w:t>
            </w:r>
            <w:proofErr w:type="gram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 Alojamento; c) Serviços turísticos não subsidiários do transporte e do alojamento, nomeadamente os relacionados com eventos desportivos, religiosos e culturais, desde que representem uma parte significativa da viagem (Decreto-Lei n.º 199/2012, de 24 de agosto).</w:t>
            </w:r>
          </w:p>
          <w:p w:rsidR="007C4CEB" w:rsidRPr="0092023D" w:rsidRDefault="007C4CEB" w:rsidP="0092023D">
            <w:pPr>
              <w:pStyle w:val="Ttulo6"/>
              <w:spacing w:before="0" w:after="0" w:line="336" w:lineRule="atLeast"/>
              <w:textAlignment w:val="baseline"/>
              <w:outlineLvl w:val="5"/>
              <w:rPr>
                <w:rFonts w:asciiTheme="minorHAnsi" w:hAnsiTheme="minorHAnsi"/>
                <w:bCs/>
                <w:color w:val="auto"/>
              </w:rPr>
            </w:pPr>
            <w:r w:rsidRPr="0092023D">
              <w:rPr>
                <w:rStyle w:val="color15"/>
                <w:rFonts w:asciiTheme="minorHAnsi" w:hAnsiTheme="minorHAnsi"/>
                <w:bCs/>
                <w:i w:val="0"/>
                <w:iCs/>
                <w:color w:val="auto"/>
                <w:bdr w:val="none" w:sz="0" w:space="0" w:color="auto" w:frame="1"/>
              </w:rPr>
              <w:t>Viagens por medida: </w:t>
            </w:r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são deslocações preparadas a pedido do cliente para satisfação das solicitações por </w:t>
            </w:r>
            <w:proofErr w:type="gramStart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>este definidas</w:t>
            </w:r>
            <w:proofErr w:type="gramEnd"/>
            <w:r w:rsidRPr="0092023D">
              <w:rPr>
                <w:rStyle w:val="color15"/>
                <w:rFonts w:asciiTheme="minorHAnsi" w:hAnsiTheme="minorHAnsi"/>
                <w:bCs/>
                <w:color w:val="auto"/>
                <w:bdr w:val="none" w:sz="0" w:space="0" w:color="auto" w:frame="1"/>
              </w:rPr>
              <w:t xml:space="preserve"> (Decreto-Lei n.º 199/2012, de 24 de agosto).</w:t>
            </w:r>
          </w:p>
          <w:p w:rsidR="00122859" w:rsidRPr="0092023D" w:rsidRDefault="00122859" w:rsidP="0092023D">
            <w:pPr>
              <w:rPr>
                <w:rFonts w:asciiTheme="minorHAnsi" w:hAnsiTheme="minorHAnsi"/>
                <w:color w:val="auto"/>
              </w:rPr>
            </w:pPr>
          </w:p>
        </w:tc>
      </w:tr>
    </w:tbl>
    <w:p w:rsidR="004F747B" w:rsidRDefault="004F747B"/>
    <w:sectPr w:rsidR="004F747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747B"/>
    <w:rsid w:val="000B0E4D"/>
    <w:rsid w:val="00122859"/>
    <w:rsid w:val="00155B38"/>
    <w:rsid w:val="00271FFA"/>
    <w:rsid w:val="003E6EE3"/>
    <w:rsid w:val="004F747B"/>
    <w:rsid w:val="006E33F9"/>
    <w:rsid w:val="007C4CEB"/>
    <w:rsid w:val="0092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6E33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6">
    <w:name w:val="Light Grid Accent 6"/>
    <w:basedOn w:val="Tabelanormal"/>
    <w:uiPriority w:val="62"/>
    <w:rsid w:val="006E33F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color15">
    <w:name w:val="color_15"/>
    <w:basedOn w:val="Fontepargpadro"/>
    <w:rsid w:val="007C4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6E33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6">
    <w:name w:val="Light Grid Accent 6"/>
    <w:basedOn w:val="Tabelanormal"/>
    <w:uiPriority w:val="62"/>
    <w:rsid w:val="006E33F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color15">
    <w:name w:val="color_15"/>
    <w:basedOn w:val="Fontepargpadro"/>
    <w:rsid w:val="007C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User1</cp:lastModifiedBy>
  <cp:revision>2</cp:revision>
  <dcterms:created xsi:type="dcterms:W3CDTF">2017-11-20T17:32:00Z</dcterms:created>
  <dcterms:modified xsi:type="dcterms:W3CDTF">2017-11-20T17:32:00Z</dcterms:modified>
</cp:coreProperties>
</file>