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3C5F" w14:textId="1BC8FC3A" w:rsidR="004A74C5" w:rsidRPr="0061236B" w:rsidRDefault="009D3A2A" w:rsidP="0061236B">
      <w:pPr>
        <w:spacing w:after="120" w:line="276" w:lineRule="auto"/>
        <w:jc w:val="center"/>
        <w:rPr>
          <w:rFonts w:ascii="Cambria" w:hAnsi="Cambria"/>
          <w:b/>
          <w:bCs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SHLAW 8 ANOS – CONTENCIOSO EM DIREITO PÚBLICO</w:t>
      </w:r>
    </w:p>
    <w:p w14:paraId="57F1C180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</w:p>
    <w:p w14:paraId="4150C8B7" w14:textId="7434BC2A" w:rsidR="009D3A2A" w:rsidRPr="0061236B" w:rsidRDefault="009D3A2A" w:rsidP="0061236B">
      <w:pPr>
        <w:spacing w:after="120" w:line="276" w:lineRule="auto"/>
        <w:rPr>
          <w:rFonts w:ascii="Cambria" w:hAnsi="Cambria"/>
          <w:b/>
          <w:bCs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 xml:space="preserve">Sobre o setor </w:t>
      </w:r>
    </w:p>
    <w:p w14:paraId="3BE6F91A" w14:textId="2B251D95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O setor de Contencioso em Direito Público atua na defesa dos interesses de nossos clientes em demandas que envolvem a Administração Pública</w:t>
      </w:r>
      <w:r w:rsidRPr="0061236B">
        <w:rPr>
          <w:rFonts w:ascii="Cambria" w:hAnsi="Cambria"/>
          <w:szCs w:val="24"/>
          <w:lang w:val="pt-BR"/>
        </w:rPr>
        <w:t xml:space="preserve"> (de forma geral e bem abrangente!)</w:t>
      </w:r>
      <w:r w:rsidRPr="0061236B">
        <w:rPr>
          <w:rFonts w:ascii="Cambria" w:hAnsi="Cambria"/>
          <w:szCs w:val="24"/>
          <w:lang w:val="pt-BR"/>
        </w:rPr>
        <w:t>. Nossa atuação se dá no âmbito de processos administrativos e judiciais</w:t>
      </w:r>
      <w:r w:rsidRPr="0061236B">
        <w:rPr>
          <w:rFonts w:ascii="Cambria" w:hAnsi="Cambria"/>
          <w:szCs w:val="24"/>
          <w:lang w:val="pt-BR"/>
        </w:rPr>
        <w:t xml:space="preserve">. É um dos departamentos também mais antigos e “originais” do escritório. </w:t>
      </w:r>
    </w:p>
    <w:p w14:paraId="2AC2FCD4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</w:p>
    <w:p w14:paraId="251D63AE" w14:textId="50F83C42" w:rsidR="009D3A2A" w:rsidRPr="0061236B" w:rsidRDefault="009D3A2A" w:rsidP="0061236B">
      <w:pPr>
        <w:spacing w:after="120" w:line="276" w:lineRule="auto"/>
        <w:rPr>
          <w:rFonts w:ascii="Cambria" w:hAnsi="Cambria"/>
          <w:b/>
          <w:bCs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Atuação integrada com a Win Licitações</w:t>
      </w:r>
    </w:p>
    <w:p w14:paraId="1724B0D0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Nosso setor exerce papel fundamental no suporte à Win Licitações, especialmente em: </w:t>
      </w:r>
    </w:p>
    <w:p w14:paraId="0E6F08F7" w14:textId="54C3F51F" w:rsidR="009D3A2A" w:rsidRPr="0061236B" w:rsidRDefault="009D3A2A" w:rsidP="0061236B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Elaboração de recursos administrativos </w:t>
      </w:r>
    </w:p>
    <w:p w14:paraId="22948F3D" w14:textId="7C9F886A" w:rsidR="009D3A2A" w:rsidRPr="0061236B" w:rsidRDefault="009D3A2A" w:rsidP="0061236B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Apresentação de contrarrazões </w:t>
      </w:r>
    </w:p>
    <w:p w14:paraId="395D3109" w14:textId="0F4148C4" w:rsidR="009D3A2A" w:rsidRPr="0061236B" w:rsidRDefault="009D3A2A" w:rsidP="0061236B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Formulação de impugnações a editais; e </w:t>
      </w:r>
    </w:p>
    <w:p w14:paraId="728873CE" w14:textId="56913D3A" w:rsidR="009D3A2A" w:rsidRPr="0061236B" w:rsidRDefault="009D3A2A" w:rsidP="0061236B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Acompanhamento de trâmites contratuais</w:t>
      </w:r>
    </w:p>
    <w:p w14:paraId="6EE37AC2" w14:textId="0A9C970E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Essa </w:t>
      </w:r>
      <w:r w:rsidRPr="0061236B">
        <w:rPr>
          <w:rFonts w:ascii="Cambria" w:hAnsi="Cambria"/>
          <w:szCs w:val="24"/>
          <w:lang w:val="pt-BR"/>
        </w:rPr>
        <w:t>entrega fortalece</w:t>
      </w:r>
      <w:r w:rsidRPr="0061236B">
        <w:rPr>
          <w:rFonts w:ascii="Cambria" w:hAnsi="Cambria"/>
          <w:szCs w:val="24"/>
          <w:lang w:val="pt-BR"/>
        </w:rPr>
        <w:t xml:space="preserve"> um serviço de “ponta a ponta” ao cliente da Win, garantindo atuação técnica qualificada em toda etapa </w:t>
      </w:r>
      <w:r w:rsidRPr="0061236B">
        <w:rPr>
          <w:rFonts w:ascii="Cambria" w:hAnsi="Cambria"/>
          <w:szCs w:val="24"/>
          <w:lang w:val="pt-BR"/>
        </w:rPr>
        <w:t xml:space="preserve">da licitação. </w:t>
      </w:r>
    </w:p>
    <w:p w14:paraId="642422A3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</w:p>
    <w:p w14:paraId="2D5713D8" w14:textId="2E6D8F41" w:rsidR="009D3A2A" w:rsidRPr="0061236B" w:rsidRDefault="009D3A2A" w:rsidP="0061236B">
      <w:pPr>
        <w:spacing w:after="120" w:line="276" w:lineRule="auto"/>
        <w:rPr>
          <w:rFonts w:ascii="Cambria" w:hAnsi="Cambria"/>
          <w:b/>
          <w:bCs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 xml:space="preserve">Atuação independente </w:t>
      </w:r>
    </w:p>
    <w:p w14:paraId="73FB6E51" w14:textId="2EC1141C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Além do suporte à Win Licitações, nosso setor possui clientes exclusivos do Contencioso, os quais buscam nosso apoio especial em fases especificas das licitações e gestões contratuais</w:t>
      </w:r>
      <w:r w:rsidRPr="0061236B">
        <w:rPr>
          <w:rFonts w:ascii="Cambria" w:hAnsi="Cambria"/>
          <w:szCs w:val="24"/>
          <w:lang w:val="pt-BR"/>
        </w:rPr>
        <w:t>, com destaque para:</w:t>
      </w:r>
    </w:p>
    <w:p w14:paraId="1AF10085" w14:textId="77777777" w:rsidR="009D3A2A" w:rsidRPr="0061236B" w:rsidRDefault="009D3A2A" w:rsidP="0061236B">
      <w:pPr>
        <w:pStyle w:val="ListParagraph"/>
        <w:numPr>
          <w:ilvl w:val="0"/>
          <w:numId w:val="7"/>
        </w:numPr>
        <w:spacing w:after="120" w:line="276" w:lineRule="auto"/>
        <w:contextualSpacing w:val="0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Mandados de segurança em matéria administrativa </w:t>
      </w:r>
    </w:p>
    <w:p w14:paraId="2AADB81F" w14:textId="77777777" w:rsidR="009D3A2A" w:rsidRPr="0061236B" w:rsidRDefault="009D3A2A" w:rsidP="0061236B">
      <w:pPr>
        <w:pStyle w:val="ListParagraph"/>
        <w:numPr>
          <w:ilvl w:val="0"/>
          <w:numId w:val="7"/>
        </w:numPr>
        <w:spacing w:after="120" w:line="276" w:lineRule="auto"/>
        <w:contextualSpacing w:val="0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Ações judiciais envolvendo licitações públicas </w:t>
      </w:r>
    </w:p>
    <w:p w14:paraId="657D53E0" w14:textId="77777777" w:rsidR="009D3A2A" w:rsidRPr="0061236B" w:rsidRDefault="009D3A2A" w:rsidP="0061236B">
      <w:pPr>
        <w:pStyle w:val="ListParagraph"/>
        <w:numPr>
          <w:ilvl w:val="0"/>
          <w:numId w:val="7"/>
        </w:numPr>
        <w:spacing w:after="120" w:line="276" w:lineRule="auto"/>
        <w:contextualSpacing w:val="0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Representações em órgãos de controle </w:t>
      </w:r>
    </w:p>
    <w:p w14:paraId="1407B7AE" w14:textId="77777777" w:rsidR="009D3A2A" w:rsidRPr="0061236B" w:rsidRDefault="009D3A2A" w:rsidP="0061236B">
      <w:pPr>
        <w:pStyle w:val="ListParagraph"/>
        <w:numPr>
          <w:ilvl w:val="0"/>
          <w:numId w:val="7"/>
        </w:numPr>
        <w:spacing w:after="120" w:line="276" w:lineRule="auto"/>
        <w:contextualSpacing w:val="0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Demandas relacionadas a concursos públicos </w:t>
      </w:r>
    </w:p>
    <w:p w14:paraId="071E58FE" w14:textId="77777777" w:rsidR="009D3A2A" w:rsidRPr="0061236B" w:rsidRDefault="009D3A2A" w:rsidP="0061236B">
      <w:pPr>
        <w:pStyle w:val="ListParagraph"/>
        <w:numPr>
          <w:ilvl w:val="0"/>
          <w:numId w:val="7"/>
        </w:numPr>
        <w:spacing w:after="120" w:line="276" w:lineRule="auto"/>
        <w:contextualSpacing w:val="0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Ações de improbidade administrativa </w:t>
      </w:r>
    </w:p>
    <w:p w14:paraId="7E87836A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</w:p>
    <w:p w14:paraId="5DB6DF3A" w14:textId="62A98635" w:rsidR="009D3A2A" w:rsidRPr="0061236B" w:rsidRDefault="009D3A2A" w:rsidP="0061236B">
      <w:pPr>
        <w:spacing w:after="120" w:line="276" w:lineRule="auto"/>
        <w:rPr>
          <w:rFonts w:ascii="Cambria" w:hAnsi="Cambria"/>
          <w:b/>
          <w:bCs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Crescimento e posicionamento do setor</w:t>
      </w:r>
    </w:p>
    <w:p w14:paraId="21D2ABF2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Ainda que haja atuação independente, as atividades majoritárias do setor contencioso envolvem os clientes da Win. </w:t>
      </w:r>
    </w:p>
    <w:p w14:paraId="47C103E2" w14:textId="595287B6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N</w:t>
      </w:r>
      <w:r w:rsidRPr="0061236B">
        <w:rPr>
          <w:rFonts w:ascii="Cambria" w:hAnsi="Cambria"/>
          <w:szCs w:val="24"/>
          <w:lang w:val="pt-BR"/>
        </w:rPr>
        <w:t xml:space="preserve">o início de 2026 o setor de contencioso em Direito Público passou a atuar de maneira mais ativa na prospecção de cliente, visando sua expansão por meio de investimentos em estratégias de posicionamento e captação de clientes, </w:t>
      </w:r>
      <w:r w:rsidRPr="0061236B">
        <w:rPr>
          <w:rFonts w:ascii="Cambria" w:hAnsi="Cambria"/>
          <w:szCs w:val="24"/>
          <w:lang w:val="pt-BR"/>
        </w:rPr>
        <w:lastRenderedPageBreak/>
        <w:t>especialmente por meio de</w:t>
      </w:r>
      <w:r w:rsidRPr="0061236B">
        <w:rPr>
          <w:rFonts w:ascii="Cambria" w:hAnsi="Cambria"/>
          <w:szCs w:val="24"/>
          <w:lang w:val="pt-BR"/>
        </w:rPr>
        <w:t xml:space="preserve"> m</w:t>
      </w:r>
      <w:r w:rsidRPr="0061236B">
        <w:rPr>
          <w:rFonts w:ascii="Cambria" w:hAnsi="Cambria"/>
          <w:szCs w:val="24"/>
          <w:lang w:val="pt-BR"/>
        </w:rPr>
        <w:t>arketing jurídico digital</w:t>
      </w:r>
      <w:r w:rsidRPr="0061236B">
        <w:rPr>
          <w:rFonts w:ascii="Cambria" w:hAnsi="Cambria"/>
          <w:szCs w:val="24"/>
          <w:lang w:val="pt-BR"/>
        </w:rPr>
        <w:t>, c</w:t>
      </w:r>
      <w:r w:rsidRPr="0061236B">
        <w:rPr>
          <w:rFonts w:ascii="Cambria" w:hAnsi="Cambria"/>
          <w:szCs w:val="24"/>
          <w:lang w:val="pt-BR"/>
        </w:rPr>
        <w:t xml:space="preserve">ampanhas em Google </w:t>
      </w:r>
      <w:proofErr w:type="spellStart"/>
      <w:r w:rsidRPr="0061236B">
        <w:rPr>
          <w:rFonts w:ascii="Cambria" w:hAnsi="Cambria"/>
          <w:szCs w:val="24"/>
          <w:lang w:val="pt-BR"/>
        </w:rPr>
        <w:t>Ads</w:t>
      </w:r>
      <w:proofErr w:type="spellEnd"/>
      <w:r w:rsidRPr="0061236B">
        <w:rPr>
          <w:rFonts w:ascii="Cambria" w:hAnsi="Cambria"/>
          <w:szCs w:val="24"/>
          <w:lang w:val="pt-BR"/>
        </w:rPr>
        <w:t xml:space="preserve"> </w:t>
      </w:r>
      <w:r w:rsidRPr="0061236B">
        <w:rPr>
          <w:rFonts w:ascii="Cambria" w:hAnsi="Cambria"/>
          <w:szCs w:val="24"/>
          <w:lang w:val="pt-BR"/>
        </w:rPr>
        <w:t>e f</w:t>
      </w:r>
      <w:r w:rsidRPr="0061236B">
        <w:rPr>
          <w:rFonts w:ascii="Cambria" w:hAnsi="Cambria"/>
          <w:szCs w:val="24"/>
          <w:lang w:val="pt-BR"/>
        </w:rPr>
        <w:t>ortalecimento da presença online</w:t>
      </w:r>
      <w:r w:rsidRPr="0061236B">
        <w:rPr>
          <w:rFonts w:ascii="Cambria" w:hAnsi="Cambria"/>
          <w:szCs w:val="24"/>
          <w:lang w:val="pt-BR"/>
        </w:rPr>
        <w:t xml:space="preserve">. </w:t>
      </w:r>
    </w:p>
    <w:p w14:paraId="04A4A5A5" w14:textId="07E34FC1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Essas iniciativas já vêm gerando resultados concretos, com a prospecção de novos clientes e ampliação da atuação do setor</w:t>
      </w:r>
      <w:r w:rsidRPr="0061236B">
        <w:rPr>
          <w:rFonts w:ascii="Cambria" w:hAnsi="Cambria"/>
          <w:szCs w:val="24"/>
          <w:lang w:val="pt-BR"/>
        </w:rPr>
        <w:t>!</w:t>
      </w:r>
    </w:p>
    <w:p w14:paraId="1B82B2B3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</w:p>
    <w:p w14:paraId="40249FF6" w14:textId="58CEBD74" w:rsidR="009D3A2A" w:rsidRPr="0061236B" w:rsidRDefault="009D3A2A" w:rsidP="0061236B">
      <w:pPr>
        <w:spacing w:after="120" w:line="276" w:lineRule="auto"/>
        <w:rPr>
          <w:rFonts w:ascii="Cambria" w:hAnsi="Cambria"/>
          <w:b/>
          <w:bCs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Caso interessante e recente</w:t>
      </w:r>
    </w:p>
    <w:p w14:paraId="35AC35FE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O case da Dream Engenharia é um caso de destaque, pois, além de possuir um grau de complexidade elevado, englobando manifestações no Tribunal de Contas da União e uma pesquisa aprofundada sobre cessão de acervo técnico e convalidação de contratos, representa também um exemplo da atuação integrada do escritório.</w:t>
      </w:r>
    </w:p>
    <w:p w14:paraId="2AA011DD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Trata-se de um projeto que envolveu múltiplas áreas, especialmente:</w:t>
      </w:r>
    </w:p>
    <w:p w14:paraId="59DA14CA" w14:textId="77777777" w:rsidR="009D3A2A" w:rsidRPr="0061236B" w:rsidRDefault="009D3A2A" w:rsidP="0061236B">
      <w:pPr>
        <w:numPr>
          <w:ilvl w:val="0"/>
          <w:numId w:val="4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Contencioso em Direito Público </w:t>
      </w:r>
    </w:p>
    <w:p w14:paraId="1E5C6A7E" w14:textId="77777777" w:rsidR="009D3A2A" w:rsidRPr="0061236B" w:rsidRDefault="009D3A2A" w:rsidP="0061236B">
      <w:pPr>
        <w:numPr>
          <w:ilvl w:val="0"/>
          <w:numId w:val="4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Consultivo </w:t>
      </w:r>
    </w:p>
    <w:p w14:paraId="5A6E26D5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A atuação conjunta permitiu:</w:t>
      </w:r>
    </w:p>
    <w:p w14:paraId="4ED4A905" w14:textId="77777777" w:rsidR="009D3A2A" w:rsidRPr="0061236B" w:rsidRDefault="009D3A2A" w:rsidP="0061236B">
      <w:pPr>
        <w:numPr>
          <w:ilvl w:val="0"/>
          <w:numId w:val="5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Desenvolvimento de estratégia jurídica completa </w:t>
      </w:r>
    </w:p>
    <w:p w14:paraId="4F651762" w14:textId="77777777" w:rsidR="009D3A2A" w:rsidRPr="0061236B" w:rsidRDefault="009D3A2A" w:rsidP="0061236B">
      <w:pPr>
        <w:numPr>
          <w:ilvl w:val="0"/>
          <w:numId w:val="5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Atuação coordenada entre áreas </w:t>
      </w:r>
    </w:p>
    <w:p w14:paraId="743EDA06" w14:textId="77777777" w:rsidR="009D3A2A" w:rsidRPr="0061236B" w:rsidRDefault="009D3A2A" w:rsidP="0061236B">
      <w:pPr>
        <w:numPr>
          <w:ilvl w:val="0"/>
          <w:numId w:val="5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Entrega de solução mais eficiente e robusta ao cliente </w:t>
      </w:r>
    </w:p>
    <w:p w14:paraId="2A3F06B3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Esse case evidencia o potencial de integração interna e a capacidade do escritório de atuar de forma multidisciplinar em demandas complexas.</w:t>
      </w:r>
    </w:p>
    <w:p w14:paraId="1364F53E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</w:p>
    <w:p w14:paraId="45EBBD44" w14:textId="7562DF8A" w:rsidR="009D3A2A" w:rsidRPr="0061236B" w:rsidRDefault="009D3A2A" w:rsidP="0061236B">
      <w:pPr>
        <w:spacing w:after="120" w:line="276" w:lineRule="auto"/>
        <w:rPr>
          <w:rFonts w:ascii="Cambria" w:hAnsi="Cambria"/>
          <w:b/>
          <w:bCs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Números de março e abril de 2026</w:t>
      </w:r>
    </w:p>
    <w:p w14:paraId="06C69D34" w14:textId="77777777" w:rsid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Nosso time é extremamente enxuto, mas com alta produtividade.</w:t>
      </w:r>
    </w:p>
    <w:p w14:paraId="2CC8D7AD" w14:textId="0C89795C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E os</w:t>
      </w:r>
      <w:r w:rsidRPr="0061236B">
        <w:rPr>
          <w:rFonts w:ascii="Cambria" w:hAnsi="Cambria"/>
          <w:szCs w:val="24"/>
          <w:lang w:val="pt-BR"/>
        </w:rPr>
        <w:t xml:space="preserve"> números ajudam a mostrar isso na prática.</w:t>
      </w:r>
      <w:r w:rsidR="0061236B">
        <w:rPr>
          <w:rFonts w:ascii="Cambria" w:hAnsi="Cambria"/>
          <w:szCs w:val="24"/>
          <w:lang w:val="pt-BR"/>
        </w:rPr>
        <w:t xml:space="preserve"> </w:t>
      </w:r>
      <w:r w:rsidRPr="0061236B">
        <w:rPr>
          <w:rFonts w:ascii="Cambria" w:hAnsi="Cambria"/>
          <w:szCs w:val="24"/>
          <w:lang w:val="pt-BR"/>
        </w:rPr>
        <w:t>Só entre março e metade de abril, foram mais de 130 atividades!</w:t>
      </w:r>
    </w:p>
    <w:p w14:paraId="4EAE3994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Quando a gente olha para a distribuição dessas atividades, fica claro onde está o núcleo da atuação do setor.</w:t>
      </w:r>
    </w:p>
    <w:p w14:paraId="5E3D493C" w14:textId="5EDE36C6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Impugnações de edital e recursos administrativos somam quase metade da demanda total.</w:t>
      </w:r>
      <w:r w:rsidRPr="0061236B">
        <w:rPr>
          <w:rFonts w:ascii="Cambria" w:hAnsi="Cambria"/>
          <w:szCs w:val="24"/>
          <w:lang w:val="pt-BR"/>
        </w:rPr>
        <w:t xml:space="preserve"> </w:t>
      </w:r>
      <w:r w:rsidRPr="0061236B">
        <w:rPr>
          <w:rFonts w:ascii="Cambria" w:hAnsi="Cambria"/>
          <w:szCs w:val="24"/>
          <w:lang w:val="pt-BR"/>
        </w:rPr>
        <w:t>Essas são exatamente as etapas mais estratégicas da licitação</w:t>
      </w:r>
      <w:r w:rsidRPr="0061236B">
        <w:rPr>
          <w:rFonts w:ascii="Cambria" w:hAnsi="Cambria"/>
          <w:szCs w:val="24"/>
          <w:lang w:val="pt-BR"/>
        </w:rPr>
        <w:t>,</w:t>
      </w:r>
    </w:p>
    <w:p w14:paraId="540B3DE0" w14:textId="3086FCFB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onde se define se o cliente vai conseguir participar ou </w:t>
      </w:r>
      <w:r w:rsidRPr="0061236B">
        <w:rPr>
          <w:rFonts w:ascii="Cambria" w:hAnsi="Cambria"/>
          <w:szCs w:val="24"/>
          <w:lang w:val="pt-BR"/>
        </w:rPr>
        <w:t>ganhar a licitação</w:t>
      </w:r>
      <w:r w:rsidRPr="0061236B">
        <w:rPr>
          <w:rFonts w:ascii="Cambria" w:hAnsi="Cambria"/>
          <w:szCs w:val="24"/>
          <w:lang w:val="pt-BR"/>
        </w:rPr>
        <w:t>.</w:t>
      </w:r>
      <w:r w:rsidRPr="0061236B">
        <w:rPr>
          <w:rFonts w:ascii="Cambria" w:hAnsi="Cambria"/>
          <w:szCs w:val="24"/>
          <w:lang w:val="pt-BR"/>
        </w:rPr>
        <w:t xml:space="preserve"> </w:t>
      </w:r>
      <w:r w:rsidRPr="0061236B">
        <w:rPr>
          <w:rFonts w:ascii="Cambria" w:hAnsi="Cambria"/>
          <w:szCs w:val="24"/>
          <w:lang w:val="pt-BR"/>
        </w:rPr>
        <w:t>Ou seja, o setor atua diretamente nos momentos mais críticos da disputa.</w:t>
      </w:r>
    </w:p>
    <w:p w14:paraId="22400DE8" w14:textId="59BFBE05" w:rsidR="009D3A2A" w:rsidRPr="0061236B" w:rsidRDefault="009D3A2A" w:rsidP="0061236B">
      <w:pPr>
        <w:numPr>
          <w:ilvl w:val="0"/>
          <w:numId w:val="8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Impugnação ao Edital:</w:t>
      </w:r>
      <w:r w:rsidRPr="0061236B">
        <w:rPr>
          <w:rFonts w:ascii="Cambria" w:hAnsi="Cambria"/>
          <w:szCs w:val="24"/>
          <w:lang w:val="pt-BR"/>
        </w:rPr>
        <w:t xml:space="preserve"> 34</w:t>
      </w:r>
    </w:p>
    <w:p w14:paraId="0E623B07" w14:textId="2BE9BA55" w:rsidR="009D3A2A" w:rsidRPr="0061236B" w:rsidRDefault="009D3A2A" w:rsidP="0061236B">
      <w:pPr>
        <w:numPr>
          <w:ilvl w:val="0"/>
          <w:numId w:val="8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Recurso Administrativo:</w:t>
      </w:r>
      <w:r w:rsidRPr="0061236B">
        <w:rPr>
          <w:rFonts w:ascii="Cambria" w:hAnsi="Cambria"/>
          <w:szCs w:val="24"/>
          <w:lang w:val="pt-BR"/>
        </w:rPr>
        <w:t xml:space="preserve"> 25</w:t>
      </w:r>
    </w:p>
    <w:p w14:paraId="697F226E" w14:textId="409E13AA" w:rsidR="009D3A2A" w:rsidRPr="0061236B" w:rsidRDefault="009D3A2A" w:rsidP="0061236B">
      <w:pPr>
        <w:numPr>
          <w:ilvl w:val="0"/>
          <w:numId w:val="8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Contrarrazões:</w:t>
      </w:r>
      <w:r w:rsidRPr="0061236B">
        <w:rPr>
          <w:rFonts w:ascii="Cambria" w:hAnsi="Cambria"/>
          <w:szCs w:val="24"/>
          <w:lang w:val="pt-BR"/>
        </w:rPr>
        <w:t xml:space="preserve"> 16</w:t>
      </w:r>
    </w:p>
    <w:p w14:paraId="4D58BA37" w14:textId="0B6530DC" w:rsidR="009D3A2A" w:rsidRPr="0061236B" w:rsidRDefault="009D3A2A" w:rsidP="0061236B">
      <w:pPr>
        <w:numPr>
          <w:ilvl w:val="0"/>
          <w:numId w:val="8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Direito de Petição:</w:t>
      </w:r>
      <w:r w:rsidRPr="0061236B">
        <w:rPr>
          <w:rFonts w:ascii="Cambria" w:hAnsi="Cambria"/>
          <w:szCs w:val="24"/>
          <w:lang w:val="pt-BR"/>
        </w:rPr>
        <w:t xml:space="preserve"> 9</w:t>
      </w:r>
    </w:p>
    <w:p w14:paraId="5FECAB2B" w14:textId="44102211" w:rsidR="009D3A2A" w:rsidRPr="0061236B" w:rsidRDefault="009D3A2A" w:rsidP="0061236B">
      <w:pPr>
        <w:numPr>
          <w:ilvl w:val="0"/>
          <w:numId w:val="8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lastRenderedPageBreak/>
        <w:t>Solicitações Administrativas:</w:t>
      </w:r>
      <w:r w:rsidRPr="0061236B">
        <w:rPr>
          <w:rFonts w:ascii="Cambria" w:hAnsi="Cambria"/>
          <w:szCs w:val="24"/>
          <w:lang w:val="pt-BR"/>
        </w:rPr>
        <w:t xml:space="preserve"> 7</w:t>
      </w:r>
    </w:p>
    <w:p w14:paraId="156F6CA3" w14:textId="5641204B" w:rsidR="009D3A2A" w:rsidRPr="0061236B" w:rsidRDefault="0061236B" w:rsidP="0061236B">
      <w:pPr>
        <w:numPr>
          <w:ilvl w:val="0"/>
          <w:numId w:val="8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Peças para Contencioso</w:t>
      </w:r>
      <w:r w:rsidR="009D3A2A" w:rsidRPr="0061236B">
        <w:rPr>
          <w:rFonts w:ascii="Cambria" w:hAnsi="Cambria"/>
          <w:b/>
          <w:bCs/>
          <w:szCs w:val="24"/>
          <w:lang w:val="pt-BR"/>
        </w:rPr>
        <w:t xml:space="preserve"> </w:t>
      </w:r>
      <w:r w:rsidRPr="0061236B">
        <w:rPr>
          <w:rFonts w:ascii="Cambria" w:hAnsi="Cambria"/>
          <w:b/>
          <w:bCs/>
          <w:szCs w:val="24"/>
          <w:lang w:val="pt-BR"/>
        </w:rPr>
        <w:t xml:space="preserve">Judicial: </w:t>
      </w:r>
      <w:r w:rsidR="009D3A2A" w:rsidRPr="0061236B">
        <w:rPr>
          <w:rFonts w:ascii="Cambria" w:hAnsi="Cambria"/>
          <w:szCs w:val="24"/>
          <w:lang w:val="pt-BR"/>
        </w:rPr>
        <w:t>4</w:t>
      </w:r>
    </w:p>
    <w:p w14:paraId="6EA75EC9" w14:textId="1B80BA9C" w:rsidR="009D3A2A" w:rsidRPr="0061236B" w:rsidRDefault="009D3A2A" w:rsidP="0061236B">
      <w:pPr>
        <w:numPr>
          <w:ilvl w:val="0"/>
          <w:numId w:val="8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Defesa Prévia:</w:t>
      </w:r>
      <w:r w:rsidRPr="0061236B">
        <w:rPr>
          <w:rFonts w:ascii="Cambria" w:hAnsi="Cambria"/>
          <w:szCs w:val="24"/>
          <w:lang w:val="pt-BR"/>
        </w:rPr>
        <w:t xml:space="preserve"> 2</w:t>
      </w:r>
    </w:p>
    <w:p w14:paraId="25EC405A" w14:textId="3483B296" w:rsidR="009D3A2A" w:rsidRPr="0061236B" w:rsidRDefault="009D3A2A" w:rsidP="0061236B">
      <w:pPr>
        <w:numPr>
          <w:ilvl w:val="0"/>
          <w:numId w:val="8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Representação:</w:t>
      </w:r>
      <w:r w:rsidRPr="0061236B">
        <w:rPr>
          <w:rFonts w:ascii="Cambria" w:hAnsi="Cambria"/>
          <w:szCs w:val="24"/>
          <w:lang w:val="pt-BR"/>
        </w:rPr>
        <w:t xml:space="preserve"> 1</w:t>
      </w:r>
    </w:p>
    <w:p w14:paraId="736D95EF" w14:textId="3B66FC02" w:rsidR="009D3A2A" w:rsidRPr="0061236B" w:rsidRDefault="009D3A2A" w:rsidP="0061236B">
      <w:pPr>
        <w:numPr>
          <w:ilvl w:val="0"/>
          <w:numId w:val="8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Ofício:</w:t>
      </w:r>
      <w:r w:rsidRPr="0061236B">
        <w:rPr>
          <w:rFonts w:ascii="Cambria" w:hAnsi="Cambria"/>
          <w:szCs w:val="24"/>
          <w:lang w:val="pt-BR"/>
        </w:rPr>
        <w:t xml:space="preserve"> 1</w:t>
      </w:r>
    </w:p>
    <w:p w14:paraId="4E1DD87A" w14:textId="78DEB88F" w:rsidR="009D3A2A" w:rsidRPr="0061236B" w:rsidRDefault="009D3A2A" w:rsidP="0061236B">
      <w:pPr>
        <w:numPr>
          <w:ilvl w:val="0"/>
          <w:numId w:val="8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Comunicação (e-mails e alinhamentos):</w:t>
      </w:r>
      <w:r w:rsidRPr="0061236B">
        <w:rPr>
          <w:rFonts w:ascii="Cambria" w:hAnsi="Cambria"/>
          <w:szCs w:val="24"/>
          <w:lang w:val="pt-BR"/>
        </w:rPr>
        <w:t xml:space="preserve"> 1</w:t>
      </w:r>
    </w:p>
    <w:p w14:paraId="08A3EDC8" w14:textId="77777777" w:rsidR="009D3A2A" w:rsidRPr="0061236B" w:rsidRDefault="009D3A2A" w:rsidP="0061236B">
      <w:pPr>
        <w:spacing w:after="120" w:line="276" w:lineRule="auto"/>
        <w:rPr>
          <w:rFonts w:ascii="Cambria" w:hAnsi="Cambria" w:cs="Poppins"/>
          <w:szCs w:val="24"/>
          <w:lang w:val="pt-BR"/>
        </w:rPr>
      </w:pPr>
    </w:p>
    <w:p w14:paraId="60DDF3A4" w14:textId="11016B02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b/>
          <w:bCs/>
          <w:szCs w:val="24"/>
          <w:lang w:val="pt-BR"/>
        </w:rPr>
        <w:t>Encerramento</w:t>
      </w:r>
    </w:p>
    <w:p w14:paraId="3DD8D396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>O Contencioso em Direito Público se posiciona hoje como um setor:</w:t>
      </w:r>
    </w:p>
    <w:p w14:paraId="423A08BE" w14:textId="77777777" w:rsidR="009D3A2A" w:rsidRPr="0061236B" w:rsidRDefault="009D3A2A" w:rsidP="0061236B">
      <w:pPr>
        <w:numPr>
          <w:ilvl w:val="0"/>
          <w:numId w:val="6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Estratégico </w:t>
      </w:r>
    </w:p>
    <w:p w14:paraId="476E4667" w14:textId="77777777" w:rsidR="009D3A2A" w:rsidRPr="0061236B" w:rsidRDefault="009D3A2A" w:rsidP="0061236B">
      <w:pPr>
        <w:numPr>
          <w:ilvl w:val="0"/>
          <w:numId w:val="6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Em expansão </w:t>
      </w:r>
    </w:p>
    <w:p w14:paraId="5F14A08E" w14:textId="45CCB81B" w:rsidR="009D3A2A" w:rsidRPr="0061236B" w:rsidRDefault="009D3A2A" w:rsidP="0061236B">
      <w:pPr>
        <w:numPr>
          <w:ilvl w:val="0"/>
          <w:numId w:val="6"/>
        </w:num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Com atuação técnica qualificada </w:t>
      </w:r>
      <w:r w:rsidR="0061236B" w:rsidRPr="0061236B">
        <w:rPr>
          <w:rFonts w:ascii="Cambria" w:hAnsi="Cambria"/>
          <w:szCs w:val="24"/>
          <w:lang w:val="pt-BR"/>
        </w:rPr>
        <w:t>e alta produtividade</w:t>
      </w:r>
    </w:p>
    <w:p w14:paraId="71B44CFD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A intenção é que </w:t>
      </w:r>
      <w:r w:rsidRPr="0061236B">
        <w:rPr>
          <w:rFonts w:ascii="Cambria" w:hAnsi="Cambria"/>
          <w:szCs w:val="24"/>
          <w:lang w:val="pt-BR"/>
        </w:rPr>
        <w:t>o Contencioso em Direito Público deix</w:t>
      </w:r>
      <w:r w:rsidRPr="0061236B">
        <w:rPr>
          <w:rFonts w:ascii="Cambria" w:hAnsi="Cambria"/>
          <w:szCs w:val="24"/>
          <w:lang w:val="pt-BR"/>
        </w:rPr>
        <w:t>e</w:t>
      </w:r>
      <w:r w:rsidRPr="0061236B">
        <w:rPr>
          <w:rFonts w:ascii="Cambria" w:hAnsi="Cambria"/>
          <w:szCs w:val="24"/>
          <w:lang w:val="pt-BR"/>
        </w:rPr>
        <w:t xml:space="preserve"> de ser apenas uma área de suporte e passa a ocupar um papel estratégico dentro do escritório.</w:t>
      </w:r>
    </w:p>
    <w:p w14:paraId="39B40272" w14:textId="73A43FC8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  <w:r w:rsidRPr="0061236B">
        <w:rPr>
          <w:rFonts w:ascii="Cambria" w:hAnsi="Cambria"/>
          <w:szCs w:val="24"/>
          <w:lang w:val="pt-BR"/>
        </w:rPr>
        <w:t xml:space="preserve">Com maior integração entre as áreas, fortalecimento técnico e avanço na captação de novos clientes, </w:t>
      </w:r>
      <w:r w:rsidRPr="0061236B">
        <w:rPr>
          <w:rFonts w:ascii="Cambria" w:hAnsi="Cambria"/>
          <w:szCs w:val="24"/>
          <w:lang w:val="pt-BR"/>
        </w:rPr>
        <w:t>o objetivo é que o setor possa</w:t>
      </w:r>
      <w:r w:rsidRPr="0061236B">
        <w:rPr>
          <w:rFonts w:ascii="Cambria" w:hAnsi="Cambria"/>
          <w:szCs w:val="24"/>
          <w:lang w:val="pt-BR"/>
        </w:rPr>
        <w:t xml:space="preserve"> crescer de forma estruturada e consistente.</w:t>
      </w:r>
    </w:p>
    <w:p w14:paraId="1551B60B" w14:textId="77777777" w:rsidR="009D3A2A" w:rsidRPr="0061236B" w:rsidRDefault="009D3A2A" w:rsidP="0061236B">
      <w:pPr>
        <w:spacing w:after="120" w:line="276" w:lineRule="auto"/>
        <w:rPr>
          <w:rFonts w:ascii="Cambria" w:hAnsi="Cambria"/>
          <w:szCs w:val="24"/>
          <w:lang w:val="pt-BR"/>
        </w:rPr>
      </w:pPr>
    </w:p>
    <w:sectPr w:rsidR="009D3A2A" w:rsidRPr="0061236B" w:rsidSect="00E35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1FBD"/>
    <w:multiLevelType w:val="multilevel"/>
    <w:tmpl w:val="9442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B41A4"/>
    <w:multiLevelType w:val="multilevel"/>
    <w:tmpl w:val="FFC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90570"/>
    <w:multiLevelType w:val="multilevel"/>
    <w:tmpl w:val="B4A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D0CC8"/>
    <w:multiLevelType w:val="multilevel"/>
    <w:tmpl w:val="0566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3550D"/>
    <w:multiLevelType w:val="multilevel"/>
    <w:tmpl w:val="2568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33BF2"/>
    <w:multiLevelType w:val="hybridMultilevel"/>
    <w:tmpl w:val="EC262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02104"/>
    <w:multiLevelType w:val="hybridMultilevel"/>
    <w:tmpl w:val="7B54D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56A5D"/>
    <w:multiLevelType w:val="multilevel"/>
    <w:tmpl w:val="702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365337">
    <w:abstractNumId w:val="6"/>
  </w:num>
  <w:num w:numId="2" w16cid:durableId="80354450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380979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49771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403710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0857799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20667413">
    <w:abstractNumId w:val="5"/>
  </w:num>
  <w:num w:numId="8" w16cid:durableId="15625910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2A"/>
    <w:rsid w:val="001C3FDC"/>
    <w:rsid w:val="004A74C5"/>
    <w:rsid w:val="0061236B"/>
    <w:rsid w:val="006D468D"/>
    <w:rsid w:val="009C0325"/>
    <w:rsid w:val="009C69EF"/>
    <w:rsid w:val="009D3A2A"/>
    <w:rsid w:val="00B26D4B"/>
    <w:rsid w:val="00BE558D"/>
    <w:rsid w:val="00E35694"/>
    <w:rsid w:val="00EE0836"/>
    <w:rsid w:val="00F9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D286E"/>
  <w15:chartTrackingRefBased/>
  <w15:docId w15:val="{099C6E35-14F0-4574-841D-7F2E3456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836"/>
    <w:pPr>
      <w:spacing w:after="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A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A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A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A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A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A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A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itação ABNT"/>
    <w:next w:val="Normal"/>
    <w:uiPriority w:val="1"/>
    <w:qFormat/>
    <w:rsid w:val="00EE0836"/>
    <w:pPr>
      <w:spacing w:after="0" w:line="240" w:lineRule="auto"/>
      <w:ind w:left="2268"/>
      <w:jc w:val="both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D3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A2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A2A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A2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A2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A2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A2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D3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A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A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A2A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D3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A2A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D3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Albino Dias</dc:creator>
  <cp:keywords/>
  <dc:description/>
  <cp:lastModifiedBy>Beatriz Albino Dias</cp:lastModifiedBy>
  <cp:revision>1</cp:revision>
  <dcterms:created xsi:type="dcterms:W3CDTF">2026-04-24T11:48:00Z</dcterms:created>
  <dcterms:modified xsi:type="dcterms:W3CDTF">2026-04-24T12:01:00Z</dcterms:modified>
</cp:coreProperties>
</file>