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B365D"/>
          <w:sz w:val="48"/>
        </w:rPr>
        <w:t>DOCUMENTAÇÃO TÉCNICA E DE NEGÓCIO</w:t>
      </w:r>
    </w:p>
    <w:p>
      <w:pPr>
        <w:spacing w:after="480"/>
      </w:pPr>
      <w:r>
        <w:rPr>
          <w:i/>
          <w:color w:val="5C768D"/>
          <w:sz w:val="28"/>
        </w:rPr>
        <w:t>Credit Risk Analytics Platform — Implementação de Ponta a Ponta</w:t>
      </w:r>
    </w:p>
    <w:p>
      <w:pPr>
        <w:spacing w:after="360"/>
      </w:pPr>
      <w:r>
        <w:rPr>
          <w:color w:val="D3D3D3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1. Escopo e Contexto de Negócio</w:t>
      </w:r>
    </w:p>
    <w:p>
      <w:pPr>
        <w:spacing w:after="160"/>
      </w:pPr>
      <w:r>
        <w:t>Este documento formaliza a engenharia e arquitetura de dados da Plataforma de Analytics para Risco de Crédito. O projeto foi desenhado sob a ótica do Princípio de Pareto (80/20), focando nos esforços que trazem o maior retorno analítico e robustez técnica no menor tempo possível, respeitando a restrição de 2 horas diárias de desenvolvimento.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1.1 O Problema de Negócio</w:t>
      </w:r>
    </w:p>
    <w:p>
      <w:pPr>
        <w:spacing w:after="160"/>
      </w:pPr>
      <w:r>
        <w:t>Uma fintech em fase de expansão aumentou agressivamente a concessão de empréstimos pessoais nos últimos trimestres para ganhar market share. No entanto, com o aumento do volume de concessões, a diretoria notou um crescimento silencioso nas taxas de atraso e inadimplência. Atualmente, os dados dos empréstimos são extraídos de forma manual e armazenados em arquivos brutos (CSV), o que gera silos de informação, lentidão na tomada de decisão e falta de confiabilidade nos indicadores gerados pelas diferentes áreas da empresa.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1.2 As 5 Perguntas de Negócio Fundamentais (KPIs)</w:t>
      </w:r>
    </w:p>
    <w:p>
      <w:pPr>
        <w:spacing w:after="80"/>
      </w:pPr>
      <w:r>
        <w:t>A equipe de Risco e a Diretoria Executiva necessitam de uma fonte única da verdade (Single Source of Truth) capaz de responder de forma ágil:</w:t>
      </w:r>
    </w:p>
    <w:p>
      <w:pPr>
        <w:pStyle w:val="ListBullet"/>
        <w:spacing w:after="60"/>
      </w:pPr>
      <w:r>
        <w:rPr>
          <w:b/>
        </w:rPr>
        <w:t>Concessão de Crédito:</w:t>
      </w:r>
      <w:r>
        <w:t xml:space="preserve"> Volume total financeiro (R$) aprovado e quantidade absoluta de contratos emitidos mensalmente.</w:t>
      </w:r>
    </w:p>
    <w:p>
      <w:pPr>
        <w:pStyle w:val="ListBullet"/>
        <w:spacing w:after="60"/>
      </w:pPr>
      <w:r>
        <w:rPr>
          <w:b/>
        </w:rPr>
        <w:t>Perfil de Clientes:</w:t>
      </w:r>
      <w:r>
        <w:t xml:space="preserve"> Segmentação demográfica e financeira dos tomadores de crédito (renda anual, tempo de emprego, tipo de residência).</w:t>
      </w:r>
    </w:p>
    <w:p>
      <w:pPr>
        <w:pStyle w:val="ListBullet"/>
        <w:spacing w:after="60"/>
      </w:pPr>
      <w:r>
        <w:rPr>
          <w:b/>
        </w:rPr>
        <w:t>Inadimplência (Default Rate):</w:t>
      </w:r>
      <w:r>
        <w:t xml:space="preserve"> Percentual de clientes com status de dívida perdida ('Charged Off') ou atrasos críticos (Late 31-120 days) calculados por safra.</w:t>
      </w:r>
    </w:p>
    <w:p>
      <w:pPr>
        <w:pStyle w:val="ListBullet"/>
        <w:spacing w:after="60"/>
      </w:pPr>
      <w:r>
        <w:rPr>
          <w:b/>
        </w:rPr>
        <w:t>Risco da Carteira:</w:t>
      </w:r>
      <w:r>
        <w:t xml:space="preserve"> Valor financeiro total atualmente exposto ao risco (soma dos saldos em atraso crônico).</w:t>
      </w:r>
    </w:p>
    <w:p>
      <w:pPr>
        <w:pStyle w:val="ListBullet"/>
        <w:spacing w:after="60"/>
      </w:pPr>
      <w:r>
        <w:rPr>
          <w:b/>
        </w:rPr>
        <w:t>Rentabilidade Estimada (Proxy):</w:t>
      </w:r>
      <w:r>
        <w:t xml:space="preserve"> Juros efetivamente recebidos deduzidos do valor principal perdido pelos clientes inadimplentes.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2. Arquitetura da Solução (Modern Data Stack)</w:t>
      </w:r>
    </w:p>
    <w:p>
      <w:pPr>
        <w:spacing w:after="120"/>
      </w:pPr>
      <w:r>
        <w:t>Para garantir escalabilidade, governança e conformidade com os padrões modernos de Engenharia de Dados, adotou-se a Arquitetura Medalhão estruturada no ecossistema Google Cloud Platform (GCP) com os seguintes componentes:</w:t>
      </w:r>
    </w:p>
    <w:p>
      <w:pPr>
        <w:pStyle w:val="ListBullet"/>
        <w:spacing w:after="60"/>
      </w:pPr>
      <w:r>
        <w:rPr>
          <w:b/>
        </w:rPr>
        <w:t>Camada Source:</w:t>
      </w:r>
      <w:r>
        <w:t xml:space="preserve"> Arquivos estruturados contendo os históricos transacionais de empréstimos (Lending Club Loan Data).</w:t>
      </w:r>
    </w:p>
    <w:p>
      <w:pPr>
        <w:pStyle w:val="ListBullet"/>
        <w:spacing w:after="60"/>
      </w:pPr>
      <w:r>
        <w:rPr>
          <w:b/>
        </w:rPr>
        <w:t>Ingestão (Python):</w:t>
      </w:r>
      <w:r>
        <w:t xml:space="preserve"> Script otimizado utilizando as bibliotecas Pandas e Pandas-GBQ para carga direta via API.</w:t>
      </w:r>
    </w:p>
    <w:p>
      <w:pPr>
        <w:pStyle w:val="ListBullet"/>
        <w:spacing w:after="60"/>
      </w:pPr>
      <w:r>
        <w:rPr>
          <w:b/>
        </w:rPr>
        <w:t>Camada Bronze (Raw Data):</w:t>
      </w:r>
      <w:r>
        <w:t xml:space="preserve"> Tabela bruta armazenada no Google BigQuery (raw_loans) mantendo o dado em seu estado original, sem transformações.</w:t>
      </w:r>
    </w:p>
    <w:p>
      <w:pPr>
        <w:pStyle w:val="ListBullet"/>
        <w:spacing w:after="60"/>
      </w:pPr>
      <w:r>
        <w:rPr>
          <w:b/>
        </w:rPr>
        <w:t>Camada Silver (Cleaned &amp; Standardized):</w:t>
      </w:r>
      <w:r>
        <w:t xml:space="preserve"> Modelos SQL executados via dbt Cloud responsáveis pela limpeza, padronização de tipos de dados, renomeação de colunas e tratamento de valores nulos.</w:t>
      </w:r>
    </w:p>
    <w:p>
      <w:pPr>
        <w:pStyle w:val="ListBullet"/>
        <w:spacing w:after="60"/>
      </w:pPr>
      <w:r>
        <w:rPr>
          <w:b/>
        </w:rPr>
        <w:t>Camada Gold (Business-Ready):</w:t>
      </w:r>
      <w:r>
        <w:t xml:space="preserve"> Modelagem dimensional em Star Schema (Tabelas Fato e Dimensões) otimizada para consumo de BI.</w:t>
      </w:r>
    </w:p>
    <w:p>
      <w:pPr>
        <w:pStyle w:val="ListBullet"/>
        <w:spacing w:after="60"/>
      </w:pPr>
      <w:r>
        <w:rPr>
          <w:b/>
        </w:rPr>
        <w:t>Camada de Consumo (Power BI):</w:t>
      </w:r>
      <w:r>
        <w:t xml:space="preserve"> Painéis executivos conectados via DirectQuery/Import à camada Gold para geração de insights visuais.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3. Passo a Passo Detalhado da Implementação Executada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3.1 Configuração do Ambiente de Nuvem (GCP) — Ponto Crítico</w:t>
      </w:r>
    </w:p>
    <w:p>
      <w:pPr>
        <w:spacing w:after="80"/>
      </w:pPr>
      <w:r>
        <w:t>A infraestrutura de nuvem foi provisionada de forma a garantir segurança no tráfego de dados e permissões mínimas necessárias. Os passos realizados (incluindo as preparações de infraestrutura e APIs que operam em segundo plano) foram:</w:t>
      </w:r>
    </w:p>
    <w:p>
      <w:pPr>
        <w:pStyle w:val="ListBullet"/>
        <w:spacing w:after="60"/>
      </w:pPr>
      <w:r>
        <w:t>Criação do Projeto no GCP com o ID único fintech-credit-risk.</w:t>
      </w:r>
    </w:p>
    <w:p>
      <w:pPr>
        <w:pStyle w:val="ListBullet"/>
        <w:spacing w:after="60"/>
      </w:pPr>
      <w:r>
        <w:t>Ativação das APIs de Nuvem: Acesso ao menu 'APIs &amp; Services' para garantir que a BigQuery API e a BigQuery Storage API estivessem ativas.</w:t>
      </w:r>
    </w:p>
    <w:p>
      <w:pPr>
        <w:pStyle w:val="ListBullet"/>
        <w:spacing w:after="60"/>
      </w:pPr>
      <w:r>
        <w:t>Criação do Dataset no BigQuery: Criação do dataset bronze_zone na região padrão (US ou Southamerica-east1) para isolar os dados brutos.</w:t>
      </w:r>
    </w:p>
    <w:p>
      <w:pPr>
        <w:pStyle w:val="ListBullet"/>
        <w:spacing w:after="60"/>
      </w:pPr>
      <w:r>
        <w:t>Criação da Conta de Serviço (Service Account): Provisionamento de uma identidade programática chamada python-ingestion.</w:t>
      </w:r>
    </w:p>
    <w:p>
      <w:pPr>
        <w:pStyle w:val="ListBullet"/>
        <w:spacing w:after="60"/>
      </w:pPr>
      <w:r>
        <w:t>Atribuição de Papéis (IAM Roles): Atribuição da permissão de BigQuery Admin à conta de serviço, permitindo a criação de tabelas e inserção de registros via script externo.</w:t>
      </w:r>
    </w:p>
    <w:p>
      <w:pPr>
        <w:pStyle w:val="ListBullet"/>
        <w:spacing w:after="60"/>
      </w:pPr>
      <w:r>
        <w:t>Geração e Download da Chave Privada: Exportação da chave criptográfica em formato JSON, salva localmente como gcp_credentials.json na raiz do projeto.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3.2 Configuração do Ambiente Local e Resolução de Conflitos</w:t>
      </w:r>
    </w:p>
    <w:p>
      <w:pPr>
        <w:spacing w:after="80"/>
      </w:pPr>
      <w:r>
        <w:t>No ambiente local, foi estruturada a pasta do projeto e sanados os conflitos de interpretadores Python. Durante a execução, identificou-se o erro ModuleNotFoundError: No module named 'pandas', causado pela existência de múltiplos interpretadores instalados no sistema operacional (conflito entre o terminal global e o ambiente de desenvolvimento).</w:t>
      </w:r>
    </w:p>
    <w:p>
      <w:pPr>
        <w:spacing w:after="40"/>
      </w:pPr>
      <w:r>
        <w:rPr>
          <w:b/>
        </w:rPr>
        <w:t>Ações de Correção Aplicadas:</w:t>
      </w:r>
    </w:p>
    <w:p>
      <w:pPr>
        <w:pStyle w:val="ListBullet"/>
        <w:spacing w:after="60"/>
      </w:pPr>
      <w:r>
        <w:t>Instalação Forçada via Módulo: Utilização do comando python -m pip install pandas pandas-gbq google-cloud-bigquery para garantir a instalação dos pacotes exatamente no interpretador ativo.</w:t>
      </w:r>
    </w:p>
    <w:p>
      <w:pPr>
        <w:pStyle w:val="ListBullet"/>
        <w:spacing w:after="60"/>
      </w:pPr>
      <w:r>
        <w:t>Alinhamento no VS Code: Abertura da paleta de comandos (Ctrl+Shift+P) -&gt; 'Python: Select Interpreter' e seleção explícita da versão global que continha as bibliotecas instaladas.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3.3 Script de Ingestão e Governança de Credenciais</w:t>
      </w:r>
    </w:p>
    <w:p>
      <w:pPr>
        <w:spacing w:after="120"/>
      </w:pPr>
      <w:r>
        <w:t>Para processar o arquivo de forma otimizada e dentro das cotas gratuitas do Google Cloud, aplicou-se a estratégia de leitura parcial (50.000 linhas). As colunas do arquivo CSV foram tratadas preventivamente (remoção de espaços, substituição de hífens por underscores e conversão para caixa baixa) para evitar a rejeição do schema pelo BigQuery.</w:t>
      </w:r>
    </w:p>
    <w:p>
      <w:pPr>
        <w:spacing w:after="80"/>
      </w:pPr>
      <w:r>
        <w:rPr>
          <w:b/>
        </w:rPr>
        <w:t>Código de Ingestão Desenvolvido (ingest_to_bigquery.py):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9"/>
        </w:rPr>
        <w:t>import os</w:t>
        <w:br/>
        <w:t>import pandas as pd</w:t>
        <w:br/>
        <w:t>from google.oauth2 import service_account</w:t>
        <w:br/>
        <w:br/>
        <w:t>KEY_PATH = 'gcp_credentials.json'</w:t>
        <w:br/>
        <w:t>PROJECT_ID = 'fintech-credit-risk'</w:t>
        <w:br/>
        <w:t>DATASET_ID = 'bronze_zone'</w:t>
        <w:br/>
        <w:t>TABLE_ID = 'raw_loans'</w:t>
        <w:br/>
        <w:t>CSV_FILE_PATH = 'lending_club_loans.csv'</w:t>
        <w:br/>
        <w:t>TARGET_TABLE = f'{DATASET_ID}.{TABLE_ID}'</w:t>
        <w:br/>
        <w:br/>
        <w:t>credentials = service_account.Credentials.from_service_account_file(KEY_PATH)</w:t>
        <w:br/>
        <w:t>df = pd.read_csv(CSV_FILE_PATH, nrows=50000, low_memory=False)</w:t>
        <w:br/>
        <w:t>df.columns = df.columns.str.strip().str.replace(' ', '_').str.replace('-', '_').str.lower()</w:t>
        <w:br/>
        <w:br/>
        <w:t>df.to_gbq(destination_table=TARGET_TABLE, project_id=PROJECT_ID, credentials=credentials, if_exists='replace')</w:t>
      </w:r>
    </w:p>
    <w:p>
      <w:pPr>
        <w:spacing w:after="40"/>
      </w:pPr>
      <w:r>
        <w:rPr>
          <w:b/>
        </w:rPr>
        <w:t>Configuração de Segurança e Governança (.gitignore):</w:t>
      </w:r>
    </w:p>
    <w:p>
      <w:pPr>
        <w:ind w:left="360"/>
      </w:pPr>
      <w:r>
        <w:rPr>
          <w:rFonts w:ascii="Consolas" w:hAnsi="Consolas"/>
          <w:sz w:val="20"/>
        </w:rPr>
        <w:t>Para impedir o vazamento de chaves privadas e arquivos pesados na nuvem pública do GitHub, foi criado o arquivo .gitignore contendo:</w:t>
        <w:br/>
        <w:t xml:space="preserve">  gcp_credentials.json</w:t>
        <w:br/>
        <w:t xml:space="preserve">  *.csv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3.4 Integração Git/GitHub e Resolução de Erros Remotos</w:t>
      </w:r>
    </w:p>
    <w:p>
      <w:pPr>
        <w:spacing w:after="80"/>
      </w:pPr>
      <w:r>
        <w:t>A sincronização do código com o repositório remoto apresentou o erro clássico failed to push some refs e fatal: not a git repository. Estes problemas foram causados pela falta de inicialização local e pelo descompasso de histórico (arquivos como README criados diretamente no portal do GitHub).</w:t>
      </w:r>
    </w:p>
    <w:p>
      <w:pPr>
        <w:spacing w:after="60"/>
      </w:pPr>
      <w:r>
        <w:rPr>
          <w:b/>
        </w:rPr>
        <w:t>Sequência Corretiva e Executiva Aplicada no Terminal:</w:t>
      </w:r>
    </w:p>
    <w:p>
      <w:pPr>
        <w:pStyle w:val="ListBullet"/>
        <w:spacing w:after="60"/>
      </w:pPr>
      <w:r>
        <w:t>git init -&gt; Inicialização da pasta como repositório Git oficial.</w:t>
      </w:r>
    </w:p>
    <w:p>
      <w:pPr>
        <w:pStyle w:val="ListBullet"/>
        <w:spacing w:after="60"/>
      </w:pPr>
      <w:r>
        <w:t>git remote remove origin -&gt; Limpeza de conexões e links quebrados ou configurados via SSH incorretamente.</w:t>
      </w:r>
    </w:p>
    <w:p>
      <w:pPr>
        <w:pStyle w:val="ListBullet"/>
        <w:spacing w:after="60"/>
      </w:pPr>
      <w:r>
        <w:t>git remote add origin &lt;URL_HTTPS&gt; -&gt; Vinculação oficial e segura utilizando o protocolo HTTPS.</w:t>
      </w:r>
    </w:p>
    <w:p>
      <w:pPr>
        <w:pStyle w:val="ListBullet"/>
        <w:spacing w:after="60"/>
      </w:pPr>
      <w:r>
        <w:t>git add . e git commit -m '... ' -&gt; Captura e versionamento local do script e das configurações de segurança.</w:t>
      </w:r>
    </w:p>
    <w:p>
      <w:pPr>
        <w:pStyle w:val="ListBullet"/>
        <w:spacing w:after="60"/>
      </w:pPr>
      <w:r>
        <w:t>git branch -M main -&gt; Forçamento da nomenclatura da branch padrão para 'main', eliminando incompatibilidades com nomenclaturas legadas (master).</w:t>
      </w:r>
    </w:p>
    <w:p>
      <w:pPr>
        <w:pStyle w:val="ListBullet"/>
        <w:spacing w:after="60"/>
      </w:pPr>
      <w:r>
        <w:t>git push -u origin main --force -&gt; Forçamento seguro do primeiro push para alinhar o repositório local como fonte da verdade, sobrescrevendo arquivos vazios da nuvem.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4. Próximos Passos e Cronograma da Sprint</w:t>
      </w:r>
    </w:p>
    <w:p>
      <w:pPr>
        <w:spacing w:after="160"/>
      </w:pPr>
      <w:r>
        <w:t>Com a ingestão concluída e a camada Bronze operacional na nuvem, o projeto segue o cronograma diário estrito até a entrega final: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Dia / Data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Fase do Projeto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Entregável Principal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 3 e 4 (28-29/06)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Modelagem dbt &amp; Camada Silver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Conexão dbt Cloud ao BigQuery. Criação dos scripts SQL de limpeza e estruturação das tabelas de Staging.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 5 (30/06)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Camada Gold &amp; Orquestração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Construção do Star Schema (fato_emprestimos e dimensões). Configuração de testes de qualidade e agendamento do Job.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 6 (01/07)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Modelagem Power BI &amp; DAX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Conexão do Power BI na Camada Gold do BigQuery. Criação dos relacionamentos e das medidas DAX de risco e inadimplência.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 7 e 8 (02-03/07)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UX/UI, Dashboard e Portfólio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Desenho do painel em Premium Dark Mode. Escrita do README.md executivo no GitHub e publicação do projeto.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