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  <w:highlight w:val="yellow"/>
        </w:rPr>
        <w:t>[DIA]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  <w:highlight w:val="yellow"/>
        </w:rPr>
        <w:t>[MÊS]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  <w:highlight w:val="yellow"/>
        </w:rPr>
        <w:t>[NOME DO RESPONSÁVEL]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  <w:highlight w:val="yellow"/>
        </w:rPr>
        <w:t>[CARGO]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  <w:highlight w:val="yellow"/>
        </w:rPr>
        <w:t>[INSTITUIÇÃO]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  <w:highlight w:val="yellow"/>
        </w:rPr>
        <w:t>[ENDEREÇO COMPLETO — copiar da coluna 'Endereço (carta)' do Excel]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  <w:highlight w:val="yellow"/>
        </w:rPr>
        <w:t>[SOBRENOME]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administração fiduciária e custódia exigem uma instituição autorizada pelo Banco Central — uma empresa de tecnologia não pode rodar essa estrutura sozinha. É exatamente aí que enxergamos o </w:t>
      </w:r>
      <w:r>
        <w:rPr>
          <w:rFonts w:ascii="Georgia" w:hAnsi="Georgia"/>
          <w:b/>
          <w:i w:val="0"/>
          <w:color w:val="2B3232"/>
          <w:sz w:val="22"/>
        </w:rPr>
        <w:t>[INSTITUIÇÃO]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no [INSTITUIÇÃO] entrar com a licença e a estrutura jurídica para constituir a administradora fiduciária e a casa de custódia — e com a supervisão de compliance que já exerce (os credenciamentos na CVM são documentais: 60 dias a administração, 90 a custódia, com os dossiês que entregamos prontos).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