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Joao Mauricio Archer Wanderley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Banco RNX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Heitor Stockler De Franca, 396 Sala 303 Andar 03 Cond Neo Super Quadra Ed Bloco Neo Super Quadra Tor — Centro Civico — Curitiba/PR — CEP 80030-030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Wanderley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administração fiduciária e custódia exigem uma instituição autorizada pelo Banco Central — uma empresa de tecnologia não pode rodar essa estrutura sozinha. É exatamente aí que enxergamos o </w:t>
      </w:r>
      <w:r>
        <w:rPr>
          <w:rFonts w:ascii="Georgia" w:hAnsi="Georgia"/>
          <w:b/>
          <w:i w:val="0"/>
          <w:color w:val="2B3232"/>
          <w:sz w:val="22"/>
        </w:rPr>
        <w:t>Banco RNX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no Banco RNX entrar com a licença e a estrutura jurídica para constituir a administradora fiduciária e a casa de custódia — e com a supervisão de compliance que já exerce (os credenciamentos na CVM são documentais: 60 dias a administração, 90 a custódia, com os dossiês que entregamos prontos).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