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76" w:lineRule="auto"/>
        <w:jc w:val="left"/>
      </w:pPr>
      <w:r>
        <w:drawing>
          <wp:inline xmlns:a="http://schemas.openxmlformats.org/drawingml/2006/main" xmlns:pic="http://schemas.openxmlformats.org/drawingml/2006/picture">
            <wp:extent cx="1655999" cy="50343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argu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55999" cy="5034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 w:line="276" w:lineRule="auto"/>
        <w:jc w:val="left"/>
      </w:pPr>
      <w:r>
        <w:rPr>
          <w:rFonts w:ascii="Consolas" w:hAnsi="Consolas"/>
          <w:b w:val="0"/>
          <w:i w:val="0"/>
          <w:color w:val="5B6B7F"/>
          <w:sz w:val="15"/>
        </w:rPr>
        <w:t>ADMINISTRAÇÃO FIDUCIÁRIA E CUSTÓDIA DE FUNDOS</w:t>
      </w:r>
    </w:p>
    <w:p>
      <w:pPr>
        <w:spacing w:before="0" w:after="200" w:line="276" w:lineRule="auto"/>
        <w:jc w:val="right"/>
      </w:pPr>
      <w:r>
        <w:rPr>
          <w:rFonts w:ascii="Georgia" w:hAnsi="Georgia"/>
          <w:b w:val="0"/>
          <w:i w:val="0"/>
          <w:color w:val="2B3232"/>
          <w:sz w:val="22"/>
        </w:rPr>
        <w:t xml:space="preserve">São Paulo, </w:t>
      </w:r>
      <w:r>
        <w:rPr>
          <w:rFonts w:ascii="Georgia" w:hAnsi="Georgia"/>
          <w:b/>
          <w:i w:val="0"/>
          <w:color w:val="2B3232"/>
          <w:sz w:val="22"/>
        </w:rPr>
        <w:t>14</w:t>
      </w:r>
      <w:r>
        <w:rPr>
          <w:rFonts w:ascii="Georgia" w:hAnsi="Georgia"/>
          <w:b w:val="0"/>
          <w:i w:val="0"/>
          <w:color w:val="2B3232"/>
          <w:sz w:val="22"/>
        </w:rPr>
        <w:t xml:space="preserve"> de </w:t>
      </w:r>
      <w:r>
        <w:rPr>
          <w:rFonts w:ascii="Georgia" w:hAnsi="Georgia"/>
          <w:b/>
          <w:i w:val="0"/>
          <w:color w:val="2B3232"/>
          <w:sz w:val="22"/>
        </w:rPr>
        <w:t>julho</w:t>
      </w:r>
      <w:r>
        <w:rPr>
          <w:rFonts w:ascii="Georgia" w:hAnsi="Georgia"/>
          <w:b w:val="0"/>
          <w:i w:val="0"/>
          <w:color w:val="2B3232"/>
          <w:sz w:val="22"/>
        </w:rPr>
        <w:t xml:space="preserve"> de 2026.</w:t>
      </w:r>
    </w:p>
    <w:p>
      <w:pPr>
        <w:spacing w:before="0" w:after="0" w:line="276" w:lineRule="auto"/>
        <w:jc w:val="left"/>
      </w:pPr>
      <w:r>
        <w:rPr>
          <w:rFonts w:ascii="Georgia" w:hAnsi="Georgia"/>
          <w:b w:val="0"/>
          <w:i w:val="0"/>
          <w:color w:val="2B3232"/>
          <w:sz w:val="22"/>
        </w:rPr>
        <w:t xml:space="preserve">A/C </w:t>
      </w:r>
      <w:r>
        <w:rPr>
          <w:rFonts w:ascii="Georgia" w:hAnsi="Georgia"/>
          <w:b/>
          <w:i w:val="0"/>
          <w:color w:val="2B3232"/>
          <w:sz w:val="22"/>
        </w:rPr>
        <w:t>Caroline Hack</w:t>
      </w:r>
      <w:r>
        <w:rPr>
          <w:rFonts w:ascii="Georgia" w:hAnsi="Georgia"/>
          <w:b w:val="0"/>
          <w:i w:val="0"/>
          <w:color w:val="2B3232"/>
          <w:sz w:val="22"/>
        </w:rPr>
        <w:t xml:space="preserve"> — </w:t>
      </w:r>
      <w:r>
        <w:rPr>
          <w:rFonts w:ascii="Georgia" w:hAnsi="Georgia"/>
          <w:b/>
          <w:i w:val="0"/>
          <w:color w:val="2B3232"/>
          <w:sz w:val="22"/>
        </w:rPr>
        <w:t>Administrador</w:t>
      </w:r>
    </w:p>
    <w:p>
      <w:pPr>
        <w:spacing w:before="0" w:after="0" w:line="276" w:lineRule="auto"/>
        <w:jc w:val="left"/>
      </w:pPr>
      <w:r>
        <w:rPr>
          <w:rFonts w:ascii="Georgia" w:hAnsi="Georgia"/>
          <w:b/>
          <w:i w:val="0"/>
          <w:color w:val="2B3232"/>
          <w:sz w:val="22"/>
        </w:rPr>
        <w:t>Pacific Invest</w:t>
      </w:r>
    </w:p>
    <w:p>
      <w:pPr>
        <w:spacing w:before="0" w:after="240" w:line="276" w:lineRule="auto"/>
        <w:jc w:val="left"/>
      </w:pPr>
      <w:r>
        <w:rPr>
          <w:rFonts w:ascii="Georgia" w:hAnsi="Georgia"/>
          <w:b w:val="0"/>
          <w:i w:val="0"/>
          <w:color w:val="5B6B7F"/>
          <w:sz w:val="20"/>
        </w:rPr>
        <w:t>Rua Sete De Setembro, 20 — Centro — Joacaba/SC — CEP 89600-000</w:t>
      </w:r>
    </w:p>
    <w:p>
      <w:pPr>
        <w:spacing w:before="0" w:after="160" w:line="276" w:lineRule="auto"/>
        <w:jc w:val="left"/>
      </w:pPr>
      <w:r>
        <w:rPr>
          <w:rFonts w:ascii="Georgia" w:hAnsi="Georgia"/>
          <w:b w:val="0"/>
          <w:i w:val="0"/>
          <w:color w:val="2B3232"/>
          <w:sz w:val="22"/>
        </w:rPr>
        <w:t xml:space="preserve">Prezada Sra. </w:t>
      </w:r>
      <w:r>
        <w:rPr>
          <w:rFonts w:ascii="Georgia" w:hAnsi="Georgia"/>
          <w:b/>
          <w:i w:val="0"/>
          <w:color w:val="2B3232"/>
          <w:sz w:val="22"/>
        </w:rPr>
        <w:t>Hack</w:t>
      </w:r>
      <w:r>
        <w:rPr>
          <w:rFonts w:ascii="Georgia" w:hAnsi="Georgia"/>
          <w:b w:val="0"/>
          <w:i w:val="0"/>
          <w:color w:val="2B3232"/>
          <w:sz w:val="22"/>
        </w:rPr>
        <w:t>,</w:t>
      </w:r>
    </w:p>
    <w:p>
      <w:pPr>
        <w:spacing w:before="0" w:after="120" w:line="276" w:lineRule="auto"/>
        <w:jc w:val="both"/>
      </w:pPr>
      <w:r>
        <w:rPr>
          <w:rFonts w:ascii="Georgia" w:hAnsi="Georgia"/>
          <w:b w:val="0"/>
          <w:i w:val="0"/>
          <w:color w:val="2B3232"/>
          <w:sz w:val="22"/>
        </w:rPr>
        <w:t xml:space="preserve">Sou Vinicius Fernandes, CGA, CGE — CTO da Argus. Sendo direto: eu e minha equipe estamos estruturando um </w:t>
      </w:r>
      <w:r>
        <w:rPr>
          <w:rFonts w:ascii="Georgia" w:hAnsi="Georgia"/>
          <w:b/>
          <w:i w:val="0"/>
          <w:color w:val="2B3232"/>
          <w:sz w:val="22"/>
        </w:rPr>
        <w:t>projeto de DTVM</w:t>
      </w:r>
      <w:r>
        <w:rPr>
          <w:rFonts w:ascii="Georgia" w:hAnsi="Georgia"/>
          <w:b w:val="0"/>
          <w:i w:val="0"/>
          <w:color w:val="2B3232"/>
          <w:sz w:val="22"/>
        </w:rPr>
        <w:t xml:space="preserve"> com um diferencial claro — viabilizar fundos de investimento de menor patrimônio, com constituição muito mais rápida e barata do que o mercado pratica hoje. É um segmento enorme, que os grandes administradores abandonaram.</w:t>
      </w:r>
    </w:p>
    <w:p>
      <w:pPr>
        <w:spacing w:before="0" w:after="120" w:line="276" w:lineRule="auto"/>
        <w:jc w:val="both"/>
      </w:pPr>
      <w:r>
        <w:rPr>
          <w:rFonts w:ascii="Georgia" w:hAnsi="Georgia"/>
          <w:b w:val="0"/>
          <w:i w:val="0"/>
          <w:color w:val="2B3232"/>
          <w:sz w:val="22"/>
        </w:rPr>
        <w:t xml:space="preserve">O gargalo do projeto é regulatório: essa operação exige uma instituição autorizada pelo Banco Central — uma empresa de tecnologia não pode rodá-la sozinha. É exatamente aí que enxergamos a </w:t>
      </w:r>
      <w:r>
        <w:rPr>
          <w:rFonts w:ascii="Georgia" w:hAnsi="Georgia"/>
          <w:b/>
          <w:i w:val="0"/>
          <w:color w:val="2B3232"/>
          <w:sz w:val="22"/>
        </w:rPr>
        <w:t>Pacific Invest</w:t>
      </w:r>
      <w:r>
        <w:rPr>
          <w:rFonts w:ascii="Georgia" w:hAnsi="Georgia"/>
          <w:b w:val="0"/>
          <w:i w:val="0"/>
          <w:color w:val="2B3232"/>
          <w:sz w:val="22"/>
        </w:rPr>
        <w:t>: a licença de DTVM é a mais completa possível para isso — habilita administração fiduciária e custódia na mesma casa, faltando só o credenciamento na CVM (documental, ~60 dias, com o dossiê que entregamos pronto).</w:t>
      </w:r>
    </w:p>
    <w:p>
      <w:pPr>
        <w:spacing w:before="0" w:after="120" w:line="276" w:lineRule="auto"/>
        <w:jc w:val="both"/>
      </w:pPr>
      <w:r>
        <w:rPr>
          <w:rFonts w:ascii="Georgia" w:hAnsi="Georgia"/>
          <w:b w:val="0"/>
          <w:i w:val="0"/>
          <w:color w:val="2B3232"/>
          <w:sz w:val="22"/>
        </w:rPr>
        <w:t xml:space="preserve">Importante: </w:t>
      </w:r>
      <w:r>
        <w:rPr>
          <w:rFonts w:ascii="Georgia" w:hAnsi="Georgia"/>
          <w:b/>
          <w:i w:val="0"/>
          <w:color w:val="2B3232"/>
          <w:sz w:val="22"/>
        </w:rPr>
        <w:t>não buscamos investimento</w:t>
      </w:r>
      <w:r>
        <w:rPr>
          <w:rFonts w:ascii="Georgia" w:hAnsi="Georgia"/>
          <w:b w:val="0"/>
          <w:i w:val="0"/>
          <w:color w:val="2B3232"/>
          <w:sz w:val="22"/>
        </w:rPr>
        <w:t>. A equipe de desenvolvimento, a arquitetura dos sistemas e o capital para construir e manter tudo em produção já são nossos.</w:t>
      </w:r>
    </w:p>
    <w:p>
      <w:pPr>
        <w:spacing w:before="0" w:after="120" w:line="276" w:lineRule="auto"/>
        <w:jc w:val="both"/>
      </w:pPr>
      <w:r>
        <w:rPr>
          <w:rFonts w:ascii="Georgia" w:hAnsi="Georgia"/>
          <w:b w:val="0"/>
          <w:i w:val="0"/>
          <w:color w:val="2B3232"/>
          <w:sz w:val="22"/>
        </w:rPr>
        <w:t xml:space="preserve">A parceria consiste na Pacific Invest entrar com a licença e a supervisão de compliance que já exerce. A contrapartida: </w:t>
      </w:r>
      <w:r>
        <w:rPr>
          <w:rFonts w:ascii="Georgia" w:hAnsi="Georgia"/>
          <w:b/>
          <w:i w:val="0"/>
          <w:color w:val="2B3232"/>
          <w:sz w:val="22"/>
        </w:rPr>
        <w:t>participação nos lucros da operação, sem absorver nenhum custo</w:t>
      </w:r>
      <w:r>
        <w:rPr>
          <w:rFonts w:ascii="Georgia" w:hAnsi="Georgia"/>
          <w:b w:val="0"/>
          <w:i w:val="0"/>
          <w:color w:val="2B3232"/>
          <w:sz w:val="22"/>
        </w:rPr>
        <w:t xml:space="preserve"> — os custos são integralmente nossos. A custódia, dentro de casa, vira receita em vez de despesa.</w:t>
      </w:r>
    </w:p>
    <w:p>
      <w:pPr>
        <w:spacing w:before="0" w:after="120" w:line="276" w:lineRule="auto"/>
        <w:jc w:val="both"/>
      </w:pPr>
      <w:r>
        <w:rPr>
          <w:rFonts w:ascii="Georgia" w:hAnsi="Georgia"/>
          <w:b w:val="0"/>
          <w:i w:val="0"/>
          <w:color w:val="2B3232"/>
          <w:sz w:val="22"/>
        </w:rPr>
        <w:t xml:space="preserve">Para mostrar que não é ideia em slide, construímos um piloto funcional que replica a operação de ponta a ponta em 4 portais (gestor, administradora, custódia e cotista) — o QR code abaixo leva direto a ele. Enviei este material também por e-mail e ligarei nos próximos dias; se preferir o caminho mais direto, meu WhatsApp está no rodapé. Peço uma conversa de </w:t>
      </w:r>
      <w:r>
        <w:rPr>
          <w:rFonts w:ascii="Georgia" w:hAnsi="Georgia"/>
          <w:b/>
          <w:i w:val="0"/>
          <w:color w:val="2B3232"/>
          <w:sz w:val="22"/>
        </w:rPr>
        <w:t>20 minutos</w:t>
      </w:r>
      <w:r>
        <w:rPr>
          <w:rFonts w:ascii="Georgia" w:hAnsi="Georgia"/>
          <w:b w:val="0"/>
          <w:i w:val="0"/>
          <w:color w:val="2B3232"/>
          <w:sz w:val="22"/>
        </w:rPr>
        <w:t>.</w:t>
      </w:r>
    </w:p>
    <w:p>
      <w:pPr>
        <w:spacing w:before="80" w:after="0" w:line="276" w:lineRule="auto"/>
        <w:jc w:val="left"/>
      </w:pPr>
      <w:r>
        <w:rPr>
          <w:rFonts w:ascii="Georgia" w:hAnsi="Georgia"/>
          <w:b w:val="0"/>
          <w:i w:val="0"/>
          <w:color w:val="2B3232"/>
          <w:sz w:val="22"/>
        </w:rPr>
        <w:t>Atenciosamente,</w:t>
      </w:r>
    </w:p>
    <w:p>
      <w:pPr>
        <w:spacing w:before="520" w:after="0" w:line="276" w:lineRule="auto"/>
        <w:jc w:val="left"/>
      </w:pPr>
      <w:r>
        <w:rPr>
          <w:rFonts w:ascii="Georgia" w:hAnsi="Georgia"/>
          <w:b w:val="0"/>
          <w:i w:val="0"/>
          <w:color w:val="5B6B7F"/>
          <w:sz w:val="22"/>
        </w:rPr>
        <w:t>____________________________________</w:t>
      </w:r>
    </w:p>
    <w:p>
      <w:pPr>
        <w:spacing w:before="0" w:after="0" w:line="276" w:lineRule="auto"/>
        <w:jc w:val="left"/>
      </w:pPr>
      <w:r>
        <w:rPr>
          <w:rFonts w:ascii="Georgia" w:hAnsi="Georgia"/>
          <w:b/>
          <w:i w:val="0"/>
          <w:color w:val="2B3232"/>
          <w:sz w:val="22"/>
        </w:rPr>
        <w:t>Vinicius Fernandes, CGA, CGE</w:t>
      </w:r>
    </w:p>
    <w:p>
      <w:pPr>
        <w:spacing w:before="0" w:after="200" w:line="276" w:lineRule="auto"/>
        <w:jc w:val="left"/>
      </w:pPr>
      <w:r>
        <w:rPr>
          <w:rFonts w:ascii="Georgia" w:hAnsi="Georgia"/>
          <w:b w:val="0"/>
          <w:i w:val="0"/>
          <w:color w:val="5B6B7F"/>
          <w:sz w:val="20"/>
        </w:rPr>
        <w:t>CTO · Argus — administração fiduciária e custódia de fundos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474"/>
        <w:gridCol w:w="7597"/>
      </w:tblGrid>
      <w:tr>
        <w:tc>
          <w:tcPr>
            <w:tcW w:type="dxa" w:w="4592"/>
          </w:tcPr>
          <w:p>
            <w:r>
              <w:drawing>
                <wp:inline xmlns:a="http://schemas.openxmlformats.org/drawingml/2006/main" xmlns:pic="http://schemas.openxmlformats.org/drawingml/2006/picture">
                  <wp:extent cx="792000" cy="792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_piloto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592"/>
          </w:tcPr>
          <w:p>
            <w:pPr>
              <w:spacing w:before="120"/>
            </w:pPr>
            <w:r>
              <w:rPr>
                <w:rFonts w:ascii="Georgia" w:hAnsi="Georgia"/>
                <w:b w:val="0"/>
                <w:i/>
                <w:color w:val="5B6B7F"/>
                <w:sz w:val="19"/>
              </w:rPr>
              <w:t>Aponte a câmera do celular para o QR code e navegue no piloto agora — dados simulados, operação real.</w:t>
              <w:br/>
            </w:r>
            <w:r>
              <w:rPr>
                <w:rFonts w:ascii="Consolas" w:hAnsi="Consolas"/>
                <w:color w:val="17123A"/>
                <w:sz w:val="17"/>
              </w:rPr>
              <w:t xml:space="preserve">WhatsApp: </w:t>
            </w:r>
            <w:r>
              <w:rPr>
                <w:rFonts w:ascii="Consolas" w:hAnsi="Consolas"/>
                <w:b/>
                <w:color w:val="17123A"/>
                <w:sz w:val="17"/>
              </w:rPr>
              <w:t>+55 84 98778-8089</w:t>
            </w:r>
            <w:r>
              <w:rPr>
                <w:rFonts w:ascii="Consolas" w:hAnsi="Consolas"/>
                <w:color w:val="17123A"/>
                <w:sz w:val="17"/>
              </w:rPr>
              <w:t xml:space="preserve">  ·  vinicius.fernandes@argusdtvm.com.br  ·  piloto: argusdtvm.com.br/piloto</w:t>
            </w:r>
          </w:p>
        </w:tc>
      </w:tr>
    </w:tbl>
    <w:sectPr w:rsidR="00FC693F" w:rsidRPr="0006063C" w:rsidSect="00034616">
      <w:pgSz w:w="11906" w:h="16838"/>
      <w:pgMar w:top="1020" w:right="1361" w:bottom="90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