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FINE-TUNING MULTIDOMÍNIO COM QLoRA PARA RACIOCÍNIO FINANCEIRO E ANÁLISE DE FALHAS INDUSTRIAIS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MULTIDOMAIN FINE-TUNING WITH QLoRA FOR FINANCIAL REASONING AND INDUSTRIAL FAILURE ANALYSIS </w:t>
      </w:r>
    </w:p>
    <w:p w:rsidR="00000000" w:rsidDel="00000000" w:rsidP="00000000" w:rsidRDefault="00000000" w:rsidRPr="00000000" w14:paraId="0000000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Nicoli Felipe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Vinicius de Jesus Silva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1"/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Jéssica Franzon Cruz do Espírito Santo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60" w:lineRule="auto"/>
        <w:ind w:firstLine="0"/>
        <w:rPr/>
      </w:pPr>
      <w:r w:rsidDel="00000000" w:rsidR="00000000" w:rsidRPr="00000000">
        <w:rPr>
          <w:rtl w:val="0"/>
        </w:rPr>
        <w:t xml:space="preserve">Este estudo avalia a especialização e o equilíbrio multidomínio do modelo Qwen2.5-7B-Instruct em raciocínio financeiro e análise de falhas industriais, utilizando a técnica Quantized Low-Rank Adaptation (QLoRA). Foram comparados o modelo base, dois modelos submetidos a fine-tuning (FT) especializado e um modelo híbrido em duas configurações experimentais. No FinQA, o melhor resultado foi obtido pelo FT-FinQA com contexto de 4.096 tokens (15,42%). No FailureSensorIQ, avaliado como tarefa multirrótulo, o FT-Failure com 1.024 tokens alcançou 96,63% de correspondência exata e F1 macro de 0,989. O FT-Híbrido com 1.024 tokens apresentou o melhor equilíbrio entre os domínios na primeira bateria, medido pela média harmônica (H = 18,75%), resultado não reproduzido na segunda. Os resultados indicam ganhos de desempenho associados aos ajustes especializados nos protocolos avaliados, embora as diferenças entre as baterias não possam ser atribuídas exclusivamente à janela de contexto, pois outros hiperparâmetros também variaram. </w:t>
      </w:r>
    </w:p>
    <w:p w:rsidR="00000000" w:rsidDel="00000000" w:rsidP="00000000" w:rsidRDefault="00000000" w:rsidRPr="00000000" w14:paraId="00000008">
      <w:pPr>
        <w:spacing w:after="60" w:before="12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modelos de linguagem; QLoRA; FinQA; análise de falhas industriais; aprendizado multidomínio.</w:t>
      </w:r>
    </w:p>
    <w:p w:rsidR="00000000" w:rsidDel="00000000" w:rsidP="00000000" w:rsidRDefault="00000000" w:rsidRPr="00000000" w14:paraId="00000009">
      <w:pPr>
        <w:pStyle w:val="Heading1"/>
        <w:ind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ABSTRACT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firstLine="0"/>
        <w:rPr/>
      </w:pPr>
      <w:r w:rsidDel="00000000" w:rsidR="00000000" w:rsidRPr="00000000">
        <w:rPr>
          <w:rtl w:val="0"/>
        </w:rPr>
        <w:t xml:space="preserve">This study evaluates the specialization and multidomain balance of the Qwen2.5-7B-Instruct model in financial reasoning and industrial failure analysis using Quantized Low-Rank Adaptation (QLoRA). The base model, two specialized fine-tuned (FT) models, and a hybrid model were compared under two experimental settings. On FinQA, the best result was achieved by FT-FinQA with a 4,096-token context window (15.42%). On FailureSensorIQ, evaluated as a multilabel task, FT-Failure with 1,024 tokens achieved 96.63% exact-match accuracy and a macro F1-score of 0.989. The 1,024-token FT-Hybrid showed the best balance across domains in the first battery, measured by the harmonic mean (H = 18.75%), but this result was not reproduced in the second. The results indicate performance gains associated with specialized fine-tuning under the evaluated protocols, although differences between batteries cannot be attributed solely to context length because other hyperparameters also varied. </w:t>
      </w:r>
    </w:p>
    <w:p w:rsidR="00000000" w:rsidDel="00000000" w:rsidP="00000000" w:rsidRDefault="00000000" w:rsidRPr="00000000" w14:paraId="0000000B">
      <w:pPr>
        <w:spacing w:after="60" w:before="12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large language models; QLoRA; FinQA; industrial failure analysis; multidomain learning.</w:t>
      </w:r>
    </w:p>
    <w:p w:rsidR="00000000" w:rsidDel="00000000" w:rsidP="00000000" w:rsidRDefault="00000000" w:rsidRPr="00000000" w14:paraId="0000000C">
      <w:pPr>
        <w:spacing w:after="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60" w:before="60" w:lineRule="auto"/>
        <w:ind w:firstLine="0"/>
        <w:rPr/>
      </w:pPr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0E">
      <w:pPr>
        <w:spacing w:after="60" w:before="60" w:lineRule="auto"/>
        <w:ind w:firstLine="720"/>
        <w:rPr/>
      </w:pPr>
      <w:r w:rsidDel="00000000" w:rsidR="00000000" w:rsidRPr="00000000">
        <w:rPr>
          <w:rtl w:val="0"/>
        </w:rPr>
        <w:t xml:space="preserve">Falhas de equipamentos, paradas de produção e problemas de qualidade podem comprometer a produtividade e produzir consequências econômicas para as organizações. A análise desses fenômenos envolve capacidades distintas, como interpretar informações numéricas e reconhecer relações entre condições operacionais, sensores e modos de falha (ALSYOUF, 2007; JARDINE; LIN; BANJEVIC, 2006). </w:t>
      </w:r>
    </w:p>
    <w:p w:rsidR="00000000" w:rsidDel="00000000" w:rsidP="00000000" w:rsidRDefault="00000000" w:rsidRPr="00000000" w14:paraId="0000000F">
      <w:pPr>
        <w:spacing w:after="60" w:before="60" w:lineRule="auto"/>
        <w:ind w:firstLine="720"/>
        <w:rPr/>
      </w:pPr>
      <w:r w:rsidDel="00000000" w:rsidR="00000000" w:rsidRPr="00000000">
        <w:rPr>
          <w:rtl w:val="0"/>
        </w:rPr>
        <w:t xml:space="preserve">O Financial Question Answering (FinQA) é um conjunto de dados empregado como benchmark para treinar e avaliar modelos em raciocínio numérico sobre relatórios financeiros, combinando informações textuais e tabulares em questões que podem exigir uma ou mais etapas de cálculo (CHEN et al., 2021). O FailureSensorIQ é um conjunto de dados e benchmark de perguntas de múltipla escolha desenvolvido para avaliar a capacidade dos modelos de compreender relações entre sensores, ativos e modos de falha industriais (CONSTANTINIDES et al., 2025). Neste estudo, ambos foram utilizados tanto no fine-tuning quanto na avaliação das configurações especializadas e híbrida. Embora relacionados no contexto organizacional, esses benchmarks avaliam tarefas independentes; assim, permitem comparar o desempenho de um mesmo modelo nos dois domínios, mas não demonstram sua capacidade de relacionar diretamente uma falha industrial às suas consequências financeiras (CHEN et al., 2021; CONSTANTINIDES et al., 2025). </w:t>
      </w:r>
    </w:p>
    <w:p w:rsidR="00000000" w:rsidDel="00000000" w:rsidP="00000000" w:rsidRDefault="00000000" w:rsidRPr="00000000" w14:paraId="00000010">
      <w:pPr>
        <w:spacing w:after="60" w:before="60" w:lineRule="auto"/>
        <w:ind w:firstLine="720"/>
        <w:rPr/>
      </w:pPr>
      <w:r w:rsidDel="00000000" w:rsidR="00000000" w:rsidRPr="00000000">
        <w:rPr>
          <w:rtl w:val="0"/>
        </w:rPr>
        <w:t xml:space="preserve">Diante disso, este estudo compara o Qwen2.5-7B-Instruct, modelo de linguagem com 7 bilhões de parâmetros ajustado para seguir instruções, antes e após o fine-tuning com dados financeiros, industriais ou de ambos os domínios. O modelo foi escolhido por combinar capacidades relatadas de seguimento de instruções, processamento de dados estruturados e raciocínio matemático (YANG et al., 2024). O objetivo é examinar a especialização e o equilíbrio multidomínio em dois protocolos de contexto.</w:t>
      </w:r>
    </w:p>
    <w:p w:rsidR="00000000" w:rsidDel="00000000" w:rsidP="00000000" w:rsidRDefault="00000000" w:rsidRPr="00000000" w14:paraId="0000001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2 REVISÃO DE LITERATURA</w:t>
      </w:r>
    </w:p>
    <w:p w:rsidR="00000000" w:rsidDel="00000000" w:rsidP="00000000" w:rsidRDefault="00000000" w:rsidRPr="00000000" w14:paraId="00000012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Em ambientes industriais, falhas de equipamentos, paradas e problemas de qualidade afetam a disponibilidade dos ativos e a continuidade da produção, podendo gerar perdas econômicas. Por essa razão, a manutenção não se limita à recuperação técnica dos equipamentos, mas integra decisões relacionadas à produtividade e à rentabilidade organizacional (ALSYOUF, 2007). Abordagens baseadas na condição dos ativos utilizam informações provenientes de sensores para identificar alterações operacionais e apoiar o diagnóstico e o prognóstico de falhas (JARDINE; LIN; BANJEVIC, 2006). Nesse contexto, conhecimentos industriais e financeiros são complementares para a tomada de decisão, embora exijam formas distintas de processamento da informação.</w:t>
      </w:r>
    </w:p>
    <w:p w:rsidR="00000000" w:rsidDel="00000000" w:rsidP="00000000" w:rsidRDefault="00000000" w:rsidRPr="00000000" w14:paraId="00000013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Essas capacidades são representadas, neste estudo, por dois benchmarks independentes. O FinQA exige que o modelo localize informações em textos e tabelas financeiras e execute operações matemáticas para responder a perguntas numéricas (CHEN et al., 2021). O FailureSensorIQ, por sua vez, avalia o reconhecimento de relações entre sensores, ativos e modos de falha, incluindo questões com múltiplas alternativas corretas (CONSTANTINIDES et al., 2025). Assim, os conjuntos permitem avaliar capacidades especializadas em cada domínio e verificar se um mesmo modelo consegue preservá-las após diferentes estratégias de ajuste. </w:t>
      </w:r>
    </w:p>
    <w:p w:rsidR="00000000" w:rsidDel="00000000" w:rsidP="00000000" w:rsidRDefault="00000000" w:rsidRPr="00000000" w14:paraId="00000014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A adaptação de baixa ordem (</w:t>
      </w:r>
      <w:r w:rsidDel="00000000" w:rsidR="00000000" w:rsidRPr="00000000">
        <w:rPr>
          <w:i w:val="1"/>
          <w:iCs w:val="1"/>
          <w:rtl w:val="0"/>
        </w:rPr>
        <w:t xml:space="preserve">Low-Rank Adaptation </w:t>
      </w:r>
      <w:r w:rsidDel="00000000" w:rsidR="00000000" w:rsidRPr="00000000">
        <w:rPr>
          <w:rtl w:val="0"/>
        </w:rPr>
        <w:t xml:space="preserve">— LoRA</w:t>
      </w:r>
      <w:r w:rsidDel="00000000" w:rsidR="00000000" w:rsidRPr="00000000">
        <w:rPr>
          <w:rtl w:val="0"/>
        </w:rPr>
        <w:t xml:space="preserve">) permite ajustar modelos por meio de matrizes adicionais treináveis, mantendo congelados os parâmetros originais (HU et al., 2022). Sua combinação com quantização, denominada </w:t>
      </w:r>
      <w:r w:rsidDel="00000000" w:rsidR="00000000" w:rsidRPr="00000000">
        <w:rPr>
          <w:i w:val="1"/>
          <w:iCs w:val="1"/>
          <w:rtl w:val="0"/>
        </w:rPr>
        <w:t xml:space="preserve">Quantized Low-Rank Adaptation</w:t>
      </w:r>
      <w:r w:rsidDel="00000000" w:rsidR="00000000" w:rsidRPr="00000000">
        <w:rPr>
          <w:rtl w:val="0"/>
        </w:rPr>
        <w:t xml:space="preserve"> (QLoRA), reduz a memória necessária durante o ajuste (DETTMERS et al., 2023). Essas técnicas possibilitam comparar, a partir da mesma arquitetura, ajustes realizados separadamente com dados financeiros e industriais e um ajuste híbrido com exemplos de ambos. Essa comparação permite examinar se o treinamento conjunto mantém um desempenho equilibrado ou favorece um domínio em detrimento do outro.</w:t>
      </w:r>
    </w:p>
    <w:p w:rsidR="00000000" w:rsidDel="00000000" w:rsidP="00000000" w:rsidRDefault="00000000" w:rsidRPr="00000000" w14:paraId="0000001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3 METODOLOGIA</w:t>
      </w:r>
    </w:p>
    <w:p w:rsidR="00000000" w:rsidDel="00000000" w:rsidP="00000000" w:rsidRDefault="00000000" w:rsidRPr="00000000" w14:paraId="00000016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Foram utilizados os conjuntos FinQA, composto por questões de raciocínio numérico baseadas em textos e tabelas financeiras (CHEN et al., 2021), e FailureSensorIQ, formado por questões sobre sensores, ativos e modos de falha industriais, incluindo itens com múltiplas alternativas corretas (CONSTANTINIDES et al., 2025). Após a padronização dos registros e a remoção de exemplos vazios ou duplicados, permaneceram 6.156 exemplos do FinQA e 8.296 do FailureSensorIQ.</w:t>
      </w:r>
    </w:p>
    <w:p w:rsidR="00000000" w:rsidDel="00000000" w:rsidP="00000000" w:rsidRDefault="00000000" w:rsidRPr="00000000" w14:paraId="00000017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Com semente 42, cada conjunto foi embaralhado e dividido aleatoriamente em 80% para treinamento, 10% para validação e 10% para teste. As divisões resultaram em 4.924/615/617 exemplos no FinQA e 6.636/829/831 no FailureSensorIQ. Os metadados foram preservados apenas para rastreabilidade e não integraram as entradas do modelo. Não foram encontrados prompts textualmente idênticos entre treinamento e teste; contudo, essa verificação não exclui semelhanças semânticas ou exemplos provenientes de um mesmo documento, ativo ou estrutura de questão.</w:t>
      </w:r>
    </w:p>
    <w:p w:rsidR="00000000" w:rsidDel="00000000" w:rsidP="00000000" w:rsidRDefault="00000000" w:rsidRPr="00000000" w14:paraId="00000018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A arquitetura Qwen2.5-7B-Instruct foi avaliada em quatro configurações, sendo FT a abreviação adotada para fine-tuning: Base, sem ajuste; FT-FinQA, ajustado com dados financeiros; FT-Failure, ajustado com dados industriais; e FT-Híbrido, ajustado com dados de ambos os conjuntos. No FT-Híbrido, os conjuntos de treinamento foram concatenados sem reamostragem, preservando-se suas quantidades originais de exemplos. Os limites de contexto foram utilizados para representar dois perfis operacionais. O FinQA combina textos e tabelas de relatórios financeiros e inclui questões com operações numéricas em uma ou mais etapas, o que pode demandar contextos mais extensos (CHEN et al., 2021). Nesse cenário, o limite de 1.024 tokens preserva integralmente os exemplos do FailureSensorIQ e permite avaliar o modelo sob um orçamento de contexto mais compacto, enquanto restringe parte das informações financeiras. O limite de 4.096 tokens, por sua vez, abrange integralmente as sequências observadas nos dois conjuntos de dados e permite avaliar o raciocínio financeiro com o contexto completo. A comparação investiga, portanto, o equilíbrio entre a preservação do contexto financeiro e o desempenho na tarefa industrial, considerando conjuntamente as demais diferenças de configuração entre as baterias. As configurações completas são apresentadas na Tabela 1. </w:t>
      </w:r>
    </w:p>
    <w:p w:rsidR="00000000" w:rsidDel="00000000" w:rsidP="00000000" w:rsidRDefault="00000000" w:rsidRPr="00000000" w14:paraId="00000019">
      <w:pPr>
        <w:spacing w:after="0" w:before="120" w:lineRule="auto"/>
        <w:ind w:firstLine="567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1 – Conjuntos de dados, configurações e hiperparâmetros principais</w:t>
      </w:r>
      <w:r w:rsidDel="00000000" w:rsidR="00000000" w:rsidRPr="00000000">
        <w:rPr>
          <w:rtl w:val="0"/>
        </w:rPr>
      </w:r>
    </w:p>
    <w:tbl>
      <w:tblPr>
        <w:tblStyle w:val="Table1"/>
        <w:tblW w:w="7198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4"/>
        <w:gridCol w:w="2268"/>
        <w:gridCol w:w="2126"/>
        <w:tblGridChange w:id="0">
          <w:tblGrid>
            <w:gridCol w:w="2804"/>
            <w:gridCol w:w="2268"/>
            <w:gridCol w:w="212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Bateria 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Bateria B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 treino/inferência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1.024 / 1.024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4.096 / 4.096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de aprendizado — FT-FinQA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2×10</w:t>
            </w:r>
            <w:r w:rsidDel="00000000" w:rsidR="00000000" w:rsidRPr="00000000">
              <w:rPr>
                <w:rFonts w:ascii="Cambria Math" w:cs="Cambria Math" w:eastAsia="Cambria Math" w:hAnsi="Cambria Math"/>
                <w:sz w:val="18"/>
                <w:szCs w:val="18"/>
                <w:rtl w:val="0"/>
              </w:rPr>
              <w:t xml:space="preserve">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2×10</w:t>
            </w:r>
            <w:r w:rsidDel="00000000" w:rsidR="00000000" w:rsidRPr="00000000">
              <w:rPr>
                <w:rFonts w:ascii="Cambria Math" w:cs="Cambria Math" w:eastAsia="Cambria Math" w:hAnsi="Cambria Math"/>
                <w:sz w:val="18"/>
                <w:szCs w:val="18"/>
                <w:rtl w:val="0"/>
              </w:rPr>
              <w:t xml:space="preserve">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⁴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Taxa de aprendizado — FT-Failure/Híbrido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2×10</w:t>
            </w:r>
            <w:r w:rsidDel="00000000" w:rsidR="00000000" w:rsidRPr="00000000">
              <w:rPr>
                <w:rFonts w:ascii="Cambria Math" w:cs="Cambria Math" w:eastAsia="Cambria Math" w:hAnsi="Cambria Math"/>
                <w:sz w:val="18"/>
                <w:szCs w:val="18"/>
                <w:rtl w:val="0"/>
              </w:rPr>
              <w:t xml:space="preserve">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5×10</w:t>
            </w:r>
            <w:r w:rsidDel="00000000" w:rsidR="00000000" w:rsidRPr="00000000">
              <w:rPr>
                <w:rFonts w:ascii="Cambria Math" w:cs="Cambria Math" w:eastAsia="Cambria Math" w:hAnsi="Cambria Math"/>
                <w:sz w:val="18"/>
                <w:szCs w:val="18"/>
                <w:rtl w:val="0"/>
              </w:rPr>
              <w:t xml:space="preserve">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⁵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Microbatch × acumulação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×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× 16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Lote efetivo; épocas; semente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32; 3; 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32; 3; 42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QLoRA / LoRA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NF4; r=8; α=16; dropout=0,1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NF4; r=8; α=16; dropout=0,1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spacing w:after="120" w:before="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elaboração própria a partir dos manifestos de execução preservados.</w:t>
      </w:r>
    </w:p>
    <w:p w:rsidR="00000000" w:rsidDel="00000000" w:rsidP="00000000" w:rsidRDefault="00000000" w:rsidRPr="00000000" w14:paraId="00000030">
      <w:pPr>
        <w:keepNext w:val="1"/>
        <w:spacing w:after="120" w:before="6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NF4 corresponde ao formato NormalFloat de 4 bits; r representa o posto dos adaptadores e α, seu fator de escala.</w:t>
      </w:r>
    </w:p>
    <w:p w:rsidR="00000000" w:rsidDel="00000000" w:rsidP="00000000" w:rsidRDefault="00000000" w:rsidRPr="00000000" w14:paraId="00000031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Os ajustes foram executados em uma unidade de processamento gráfico (</w:t>
      </w:r>
      <w:r w:rsidDel="00000000" w:rsidR="00000000" w:rsidRPr="00000000">
        <w:rPr>
          <w:i w:val="1"/>
          <w:iCs w:val="1"/>
          <w:rtl w:val="0"/>
        </w:rPr>
        <w:t xml:space="preserve">Graphics Processing Unit</w:t>
      </w:r>
      <w:r w:rsidDel="00000000" w:rsidR="00000000" w:rsidRPr="00000000">
        <w:rPr>
          <w:rtl w:val="0"/>
        </w:rPr>
        <w:t xml:space="preserve"> — GPU) H100 de 80 GB, utilizando QLoRA, quantização </w:t>
      </w:r>
      <w:r w:rsidDel="00000000" w:rsidR="00000000" w:rsidRPr="00000000">
        <w:rPr>
          <w:i w:val="1"/>
          <w:iCs w:val="1"/>
          <w:rtl w:val="0"/>
        </w:rPr>
        <w:t xml:space="preserve">NormalFloat</w:t>
      </w:r>
      <w:r w:rsidDel="00000000" w:rsidR="00000000" w:rsidRPr="00000000">
        <w:rPr>
          <w:rtl w:val="0"/>
        </w:rPr>
        <w:t xml:space="preserve"> de 4 bits (NF4) e adaptadores LoRA nos módulos de atenção e de perceptron multicamadas (</w:t>
      </w:r>
      <w:r w:rsidDel="00000000" w:rsidR="00000000" w:rsidRPr="00000000">
        <w:rPr>
          <w:i w:val="1"/>
          <w:iCs w:val="1"/>
          <w:rtl w:val="0"/>
        </w:rPr>
        <w:t xml:space="preserve">Multi-Layer Perceptron</w:t>
      </w:r>
      <w:r w:rsidDel="00000000" w:rsidR="00000000" w:rsidRPr="00000000">
        <w:rPr>
          <w:rtl w:val="0"/>
        </w:rPr>
        <w:t xml:space="preserve"> — MLP) (DETTMERS et al., 2023). Durante o treinamento, o prompt foi concatenado à resposta esperada, e as sequências excedentes foram truncadas à direita. Na inferência, somente o prompt foi fornecido ao modelo, com geração determinística da resposta. Os modelos foram treinados por três épocas, com validação ao final de cada uma e seleção do checkpoint com menor perda de validação. </w:t>
      </w:r>
    </w:p>
    <w:p w:rsidR="00000000" w:rsidDel="00000000" w:rsidP="00000000" w:rsidRDefault="00000000" w:rsidRPr="00000000" w14:paraId="00000032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No FinQA, a primeira expressão numérica extraída da resposta foi comparada ao gabarito após a normalização de espaços e separadores decimais, considerando tolerâncias absoluta e relativa de 0,001. No FailureSensorIQ, as alternativas identificadas foram reunidas em um conjunto, com eliminação de repetições, e comparadas ao conjunto esperado. A correspondência exata foi utilizada como métrica principal, enquanto o F1 macro, obtido pela média não ponderada dos escores F1 de cada rótulo, que combinam precisão e revocação, foi adotado como medida complementar (SOKOLOVA; LAPALME, 2009). Respostas sem número ou alternativa reconhecível foram mantidas no denominador e consideradas incorretas. O equilíbrio entre a acurácia financeira (A_F) e a acurácia industrial (A_I) foi sintetizado pela média harmônica apresentada na Equação (1):</w:t>
      </w:r>
    </w:p>
    <w:p w:rsidR="00000000" w:rsidDel="00000000" w:rsidP="00000000" w:rsidRDefault="00000000" w:rsidRPr="00000000" w14:paraId="00000033">
      <w:pPr>
        <w:spacing w:after="240" w:before="240" w:lineRule="auto"/>
        <w:ind w:left="2880" w:firstLine="72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 = 2 A_F A_I / (A_F + A_I)                        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Na Equação (1), A_F representa a acurácia numérica no FinQA e A_I representa a correspondência exata no FailureSensorIQ. Valores mais altos de H indicam maior equilíbrio relativo entre os desempenhos nos dois domínios, sem substituir a análise individual das métricas.</w:t>
      </w:r>
    </w:p>
    <w:p w:rsidR="00000000" w:rsidDel="00000000" w:rsidP="00000000" w:rsidRDefault="00000000" w:rsidRPr="00000000" w14:paraId="0000003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4 RESULTADOS E DISCUSSÃO</w:t>
      </w:r>
    </w:p>
    <w:p w:rsidR="00000000" w:rsidDel="00000000" w:rsidP="00000000" w:rsidRDefault="00000000" w:rsidRPr="00000000" w14:paraId="00000036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Os resultados apresentados na Tabela 2 evidenciam comportamentos distintos entre os ajustes especializados e o ajuste multidomínio. Conforme a Equação (1), na Bateria A, o FT-Híbrido alcançou o maior valor de H, com 18,75%, sugerindo o maior equilíbrio relativo entre os desempenhos financeiro e industrial nesse protocolo. O FT-FinQA elevou a acurácia financeira de 1,49%, no modelo base, para 10,45%, enquanto o FT-Failure alcançou o melhor desempenho industrial, com 96,63% de correspondência exata e F1 macro de 0,989. O FT-Híbrido obteve 10,61% no FinQA e 80,39% no FailureSensorIQ. Assim, o treinamento híbrido proporcionou o melhor equilíbrio relativo, mas não superou os modelos especializados em suas respectivas tarefas.</w:t>
      </w:r>
    </w:p>
    <w:p w:rsidR="00000000" w:rsidDel="00000000" w:rsidP="00000000" w:rsidRDefault="00000000" w:rsidRPr="00000000" w14:paraId="00000037">
      <w:pPr>
        <w:keepNext w:val="1"/>
        <w:spacing w:after="40" w:before="10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2 – Resultados dos quatro modelos nas duas baterias</w:t>
      </w:r>
    </w:p>
    <w:tbl>
      <w:tblPr>
        <w:tblStyle w:val="Table2"/>
        <w:tblW w:w="7371.0" w:type="dxa"/>
        <w:jc w:val="left"/>
        <w:tblInd w:w="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8"/>
        <w:gridCol w:w="1276"/>
        <w:gridCol w:w="1275"/>
        <w:gridCol w:w="1560"/>
        <w:gridCol w:w="1230"/>
        <w:gridCol w:w="1012"/>
        <w:tblGridChange w:id="0">
          <w:tblGrid>
            <w:gridCol w:w="1018"/>
            <w:gridCol w:w="1276"/>
            <w:gridCol w:w="1275"/>
            <w:gridCol w:w="1560"/>
            <w:gridCol w:w="1230"/>
            <w:gridCol w:w="1012"/>
          </w:tblGrid>
        </w:tblGridChange>
      </w:tblGrid>
      <w:tr>
        <w:trPr>
          <w:cantSplit w:val="0"/>
          <w:trHeight w:val="8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FinQA</w:t>
              <w:br w:type="textWrapping"/>
              <w:t xml:space="preserve">Acur. num.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Failure</w:t>
              <w:br w:type="textWrapping"/>
              <w:t xml:space="preserve">Acur.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Failure</w:t>
              <w:br w:type="textWrapping"/>
              <w:t xml:space="preserve">F1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 (%)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12,52%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FT-FinQA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10,45%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12,88%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8,29%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96,63%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10,61%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80,39%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18,29%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FT-FinQA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15,42%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11,55%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21,54%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FT-Híbrido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6,47%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12,03%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8,41%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before="2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elaboração própria. </w:t>
      </w:r>
    </w:p>
    <w:p w:rsidR="00000000" w:rsidDel="00000000" w:rsidP="00000000" w:rsidRDefault="00000000" w:rsidRPr="00000000" w14:paraId="0000006F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Na Bateria B, o FT-FinQA atingiu a maior acurácia financeira do estudo, com 15,42%, e a maior média harmônica da configuração, com H = 13,21%. Em contrapartida, o FT-Híbrido obteve 6,47% no FinQA e 12,03% no FailureSensorIQ, resultando em H = 8,41%. Portanto, o equilíbrio observado para o modelo híbrido na Bateria A não foi reproduzido na Bateria B. Como a taxa de aprendizado e o tamanho do microbatch também variaram entre os protocolos, essa diferença não pode ser atribuída exclusivamente ao aumento da janela de contexto.</w:t>
      </w:r>
    </w:p>
    <w:p w:rsidR="00000000" w:rsidDel="00000000" w:rsidP="00000000" w:rsidRDefault="00000000" w:rsidRPr="00000000" w14:paraId="00000070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Entre as 6.156 sequências completas de prompt e resposta do FinQA, 2.823 (45,86%) excederam o limite de 1.024 tokens. Nenhuma das 8.296 sequências do FailureSensorIQ ultrapassou esse limite, e nenhuma sequência dos dois conjuntos excedeu 4.096 tokens. O menor truncamento pode ter favorecido o FT-FinQA na Bateria B, mas as diferenças entre os protocolos impedem confirmar essa relação. No FailureSensorIQ, a diferença entre o F1 macro de 0,928 e a acurácia de correspondência exata de 80,39% sugere que parte dos rótulos foi reconhecida mesmo quando o conjunto completo não foi previsto corretamente. A inspeção exploratória identificou erros de cálculo no FinQA e conjuntos incompletos no FailureSensorIQ. Além disso, o avaliador financeiro considera apenas a primeira expressão numérica da resposta e não interpreta automaticamente escalas textuais, como </w:t>
      </w:r>
      <w:r w:rsidDel="00000000" w:rsidR="00000000" w:rsidRPr="00000000">
        <w:rPr>
          <w:i w:val="1"/>
          <w:iCs w:val="1"/>
          <w:rtl w:val="0"/>
        </w:rPr>
        <w:t xml:space="preserve">million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billion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72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Este estudo comparou ajustes especializados e multidomínio do Qwen2.5-7B-Instruct em tarefas de raciocínio financeiro e análise de falhas industriais. Os modelos especializados obtiveram os melhores resultados em seus respectivos domínios, enquanto o FT-Híbrido apresentou o maior equilíbrio apenas na Bateria A. Como diferentes parâmetros variaram entre as baterias, não foi possível atribuir as diferenças exclusivamente à janela de contexto.</w:t>
      </w:r>
    </w:p>
    <w:p w:rsidR="00000000" w:rsidDel="00000000" w:rsidP="00000000" w:rsidRDefault="00000000" w:rsidRPr="00000000" w14:paraId="00000073">
      <w:pPr>
        <w:spacing w:after="60" w:lineRule="auto"/>
        <w:ind w:firstLine="567"/>
        <w:rPr/>
      </w:pPr>
      <w:r w:rsidDel="00000000" w:rsidR="00000000" w:rsidRPr="00000000">
        <w:rPr>
          <w:rtl w:val="0"/>
        </w:rPr>
        <w:t xml:space="preserve">Os resultados estão limitados a dois benchmarks, uma única semente e divisões aleatórias dos dados. Estudos futuros deverão controlar os hiperparâmetros separadamente, utilizar diferentes sementes e avaliar cenários que relacionem falhas industriais às suas consequências econômicas. </w:t>
      </w:r>
    </w:p>
    <w:p w:rsidR="00000000" w:rsidDel="00000000" w:rsidP="00000000" w:rsidRDefault="00000000" w:rsidRPr="00000000" w14:paraId="00000074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5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ALSYOUF, I. The role of maintenance in improving companies’ productivity and profitability. International Journal of Production Economics, v. 105, n. 1, p. 70-78, 2007. DOI: https://doi.org/10.1016/j.ijpe.2004.06.057.</w:t>
      </w:r>
    </w:p>
    <w:p w:rsidR="00000000" w:rsidDel="00000000" w:rsidP="00000000" w:rsidRDefault="00000000" w:rsidRPr="00000000" w14:paraId="00000076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CHEN, Zhiyu et al. FinQA: a dataset of numerical reasoning over financial data. In: PROCEEDINGS OF THE 2021 CONFERENCE ON EMPIRICAL METHODS IN NATURAL LANGUAGE PROCESSING. Association for Computational Linguistics, 2021, p. 3697–3711. DOI: https://doi.org/10.18653/v1/2021.emnlp-main.300.</w:t>
      </w:r>
    </w:p>
    <w:p w:rsidR="00000000" w:rsidDel="00000000" w:rsidP="00000000" w:rsidRDefault="00000000" w:rsidRPr="00000000" w14:paraId="00000077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CONSTANTINIDES, Christodoulos et al. FailureSensorIQ: a multi-choice QA dataset for understanding sensor relationships and failure modes. arXiv, 2025. DOI: https://doi.org/10.48550/arXiv.2506.03278.</w:t>
      </w:r>
    </w:p>
    <w:p w:rsidR="00000000" w:rsidDel="00000000" w:rsidP="00000000" w:rsidRDefault="00000000" w:rsidRPr="00000000" w14:paraId="00000078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DETTMERS, T. et al. QLoRA: Efficient finetuning of quantized LLMs. Advances in Neural Information Processing Systems, v. 36, 2023. DOI: https://doi.org/10.52202/075280-0441.</w:t>
      </w:r>
    </w:p>
    <w:p w:rsidR="00000000" w:rsidDel="00000000" w:rsidP="00000000" w:rsidRDefault="00000000" w:rsidRPr="00000000" w14:paraId="00000079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HU, E. J. et al. LoRA: Low-Rank Adaptation of Large Language Models. In: INTERNATIONAL CONFERENCE ON LEARNING REPRESENTATIONS, 10., 2022. Proceedings of the Tenth International Conference on Learning Representations. 2022. Disponível em: https://openreview.net/forum?id=nZeVKeeFYf9. Acesso em: 14 set. 2026.</w:t>
      </w:r>
    </w:p>
    <w:p w:rsidR="00000000" w:rsidDel="00000000" w:rsidP="00000000" w:rsidRDefault="00000000" w:rsidRPr="00000000" w14:paraId="0000007A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JARDINE, A. K. S.; LIN, D.; BANJEVIC, D. A review on machinery diagnostics and prognostics implementing condition-based maintenance. Mechanical Systems and Signal Processing, v. 20, n. 7, p. 1483–1510, 2006. DOI: </w:t>
      </w:r>
      <w:hyperlink r:id="rId8">
        <w:r w:rsidDel="00000000" w:rsidR="00000000" w:rsidRPr="00000000">
          <w:rPr>
            <w:color w:val="000000"/>
            <w:sz w:val="22"/>
            <w:szCs w:val="22"/>
            <w:u w:val="none"/>
            <w:rtl w:val="0"/>
          </w:rPr>
          <w:t xml:space="preserve">https://doi.org/10.1016/j.ymssp.2005.09.012</w:t>
        </w:r>
      </w:hyperlink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SOKOLOVA, Marina; LAPALME, Guy. A systematic analysis of performance measures for classification tasks.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Information Processing &amp; Management</w:t>
      </w:r>
      <w:r w:rsidDel="00000000" w:rsidR="00000000" w:rsidRPr="00000000">
        <w:rPr>
          <w:sz w:val="22"/>
          <w:szCs w:val="22"/>
          <w:rtl w:val="0"/>
        </w:rPr>
        <w:t xml:space="preserve">, v. 45, n. 4, p. 427–437, 2009. DOI: https://doi.org/10.1016/j.ipm.2009.03.002. </w:t>
      </w:r>
    </w:p>
    <w:p w:rsidR="00000000" w:rsidDel="00000000" w:rsidP="00000000" w:rsidRDefault="00000000" w:rsidRPr="00000000" w14:paraId="0000007C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YANG, A. et al. Qwen2.5 technical report. arXiv:2412.15115, 2024. DOI: https://doi.org/10.48550/arXiv.2412.15115.</w:t>
      </w:r>
    </w:p>
    <w:p w:rsidR="00000000" w:rsidDel="00000000" w:rsidP="00000000" w:rsidRDefault="00000000" w:rsidRPr="00000000" w14:paraId="0000007D">
      <w:pPr>
        <w:spacing w:after="120" w:before="12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SOBRE O(S) AUTOR(ES)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NICOLI FELIPE</w:t>
      </w:r>
    </w:p>
    <w:tbl>
      <w:tblPr>
        <w:tblStyle w:val="Table3"/>
        <w:tblW w:w="162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76"/>
        <w:gridCol w:w="6938"/>
        <w:gridCol w:w="6934"/>
        <w:tblGridChange w:id="0">
          <w:tblGrid>
            <w:gridCol w:w="2376"/>
            <w:gridCol w:w="6938"/>
            <w:gridCol w:w="69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63980" cy="1363980"/>
                  <wp:effectExtent b="0" l="0" r="0" t="0"/>
                  <wp:docPr id="164196791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1363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Graduanda em Ciência de Dados pela Faculdade SENAI de Informática (2025-2026). Graduanda em Informática para negócios pela Fatec (2025-2027). Formada no técnico de administração pela ETEC de Mauá (2024). https://orcid.org/0009-0001-5123-5059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VINICIUS DE JESUS SILVA</w:t>
      </w:r>
    </w:p>
    <w:tbl>
      <w:tblPr>
        <w:tblStyle w:val="Table4"/>
        <w:tblW w:w="93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56"/>
        <w:gridCol w:w="6946"/>
        <w:tblGridChange w:id="0">
          <w:tblGrid>
            <w:gridCol w:w="2356"/>
            <w:gridCol w:w="6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93701" cy="1287911"/>
                  <wp:effectExtent b="0" l="0" r="0" t="0"/>
                  <wp:docPr id="164196791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701" cy="1287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Graduado em Ciência de Dados (2024–2025) pelo Centro Universitário SENAI-SP, Campus São Caetano do Sul – Centro. </w:t>
            </w:r>
            <w:r w:rsidDel="00000000" w:rsidR="00000000" w:rsidRPr="00000000">
              <w:rPr>
                <w:rtl w:val="0"/>
              </w:rPr>
              <w:t xml:space="preserve">https://orcid.org/0009-0002-8151-9439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" w:lineRule="auto"/>
        <w:ind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ind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JÉSSICA FRANZON CRUZ DO ESPÍRITO SANTO</w:t>
      </w:r>
    </w:p>
    <w:tbl>
      <w:tblPr>
        <w:tblStyle w:val="Table5"/>
        <w:tblW w:w="93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56"/>
        <w:gridCol w:w="6946"/>
        <w:tblGridChange w:id="0">
          <w:tblGrid>
            <w:gridCol w:w="2356"/>
            <w:gridCol w:w="6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77301" cy="1422093"/>
                  <wp:effectExtent b="0" l="0" r="0" t="0"/>
                  <wp:docPr descr="https://media.licdn.com/dms/image/v2/D4D03AQG6eF9vx2bC6w/profile-displayphoto-shrink_800_800/B4DZVuGXYBHIAg-/0/1741308917712?e=1761177600&amp;v=beta&amp;t=aihd847cRA8bOUmPmVdQyquVaFqvmW4DXV0Dpe9Ghsw" id="1641967918" name="image2.jpg"/>
                  <a:graphic>
                    <a:graphicData uri="http://schemas.openxmlformats.org/drawingml/2006/picture">
                      <pic:pic>
                        <pic:nvPicPr>
                          <pic:cNvPr descr="https://media.licdn.com/dms/image/v2/D4D03AQG6eF9vx2bC6w/profile-displayphoto-shrink_800_800/B4DZVuGXYBHIAg-/0/1741308917712?e=1761177600&amp;v=beta&amp;t=aihd847cRA8bOUmPmVdQyquVaFqvmW4DXV0Dpe9Ghsw"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01" cy="14220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Possui graduação (Bacharelado) em Ciência da Computação (2018-2021) pela Universidade Paulista (UNIP); Pós-graduada em Gestão Educacional na Perspectiva Inclusiva (2022) pela Universidade Federal de Pelotas (UFPEL) e Pós-graduada em Psicopedagogia (2024) pela Faculdade das Américas (FAM); É Mestranda em Engenharia da Informação pela Universidade Federal do ABC. Atua como Professora na Faculdade Senai no campus Paulo Antônio Skaf no curso de Ciência de Dados.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https://orcid.org/0000-0002-2812-3673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" w:lineRule="auto"/>
        <w:ind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10" w:orient="portrait"/>
      <w:pgMar w:bottom="1587" w:top="1134" w:left="1304" w:right="1304" w:header="720" w:footer="9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-837561</wp:posOffset>
              </wp:positionH>
              <wp:positionV relativeFrom="paragraph">
                <wp:posOffset>95250</wp:posOffset>
              </wp:positionV>
              <wp:extent cx="2667000" cy="838200"/>
              <wp:effectExtent b="0" l="0" r="0" t="0"/>
              <wp:wrapNone/>
              <wp:docPr descr="Elemento gráfico decorativo cinza do template." id="1641967915" name="" title="Elemento gráfico decorativo cinza do template.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22025" y="3370425"/>
                        <a:ext cx="2647950" cy="819150"/>
                      </a:xfrm>
                      <a:custGeom>
                        <a:rect b="b" l="l" r="r" t="t"/>
                        <a:pathLst>
                          <a:path extrusionOk="0" h="1418" w="4252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-837561</wp:posOffset>
              </wp:positionH>
              <wp:positionV relativeFrom="paragraph">
                <wp:posOffset>95250</wp:posOffset>
              </wp:positionV>
              <wp:extent cx="2667000" cy="838200"/>
              <wp:effectExtent b="0" l="0" r="0" t="0"/>
              <wp:wrapNone/>
              <wp:docPr descr="Elemento gráfico decorativo cinza do template." id="1641967915" name="image5.png"/>
              <a:graphic>
                <a:graphicData uri="http://schemas.openxmlformats.org/drawingml/2006/picture">
                  <pic:pic>
                    <pic:nvPicPr>
                      <pic:cNvPr descr="Elemento gráfico decorativo cinza do template.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838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5076189</wp:posOffset>
          </wp:positionH>
          <wp:positionV relativeFrom="paragraph">
            <wp:posOffset>-121283</wp:posOffset>
          </wp:positionV>
          <wp:extent cx="830580" cy="388620"/>
          <wp:effectExtent b="0" l="0" r="0" t="0"/>
          <wp:wrapSquare wrapText="bothSides" distB="0" distT="0" distL="114300" distR="114300"/>
          <wp:docPr descr="Logotipo do SENAI." id="1641967920" name="image4.png"/>
          <a:graphic>
            <a:graphicData uri="http://schemas.openxmlformats.org/drawingml/2006/picture">
              <pic:pic>
                <pic:nvPicPr>
                  <pic:cNvPr descr="Logotipo do SENAI." id="0" name="image4.png"/>
                  <pic:cNvPicPr preferRelativeResize="0"/>
                </pic:nvPicPr>
                <pic:blipFill>
                  <a:blip r:embed="rId2"/>
                  <a:srcRect b="4969" l="0" r="67941" t="0"/>
                  <a:stretch>
                    <a:fillRect/>
                  </a:stretch>
                </pic:blipFill>
                <pic:spPr>
                  <a:xfrm>
                    <a:off x="0" y="0"/>
                    <a:ext cx="830580" cy="38862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Graduanda em Ciência de Dados pelo Centro Universitário Senai São Paulo Campus São Caetano do Sul -Centro E-mail: nicolifelipe01@gmail.com</w:t>
      </w:r>
    </w:p>
  </w:footnote>
  <w:footnote w:id="1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Graduado em Ciência de Dados pelo Centro Universitário Senai São Paulo Campus São Caetano do Sul -Centro E-mail: viniciusdejesussilva12@gmail.com</w:t>
      </w:r>
    </w:p>
  </w:footnote>
  <w:footnote w:id="2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Docente em Ciência de Dados pelo Centro Universitário Senai São Paulo Campus São Caetano do Sul -Centro E-mail: jessica.santo@sp.senai.br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6118861</wp:posOffset>
              </wp:positionH>
              <wp:positionV relativeFrom="page">
                <wp:align>top</wp:align>
              </wp:positionV>
              <wp:extent cx="1449705" cy="919480"/>
              <wp:effectExtent b="0" l="0" r="0" t="0"/>
              <wp:wrapNone/>
              <wp:docPr descr="Elemento gráfico decorativo vermelho com a numeração da página." id="1641967916" name="" title="Elemento gráfico decorativo vermelho com a numeração da página.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30673" y="3329785"/>
                        <a:ext cx="1430655" cy="900430"/>
                      </a:xfrm>
                      <a:custGeom>
                        <a:rect b="b" l="l" r="r" t="t"/>
                        <a:pathLst>
                          <a:path extrusionOk="0" h="1418" w="2253">
                            <a:moveTo>
                              <a:pt x="2252" y="0"/>
                            </a:moveTo>
                            <a:lnTo>
                              <a:pt x="0" y="0"/>
                            </a:lnTo>
                            <a:lnTo>
                              <a:pt x="818" y="1417"/>
                            </a:lnTo>
                            <a:lnTo>
                              <a:pt x="2252" y="1417"/>
                            </a:lnTo>
                            <a:lnTo>
                              <a:pt x="2252" y="0"/>
                            </a:lnTo>
                            <a:close/>
                          </a:path>
                        </a:pathLst>
                      </a:custGeom>
                      <a:solidFill>
                        <a:srgbClr val="F9131E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6118861</wp:posOffset>
              </wp:positionH>
              <wp:positionV relativeFrom="page">
                <wp:align>top</wp:align>
              </wp:positionV>
              <wp:extent cx="1449705" cy="919480"/>
              <wp:effectExtent b="0" l="0" r="0" t="0"/>
              <wp:wrapNone/>
              <wp:docPr descr="Elemento gráfico decorativo vermelho com a numeração da página." id="1641967916" name="image6.png"/>
              <a:graphic>
                <a:graphicData uri="http://schemas.openxmlformats.org/drawingml/2006/picture">
                  <pic:pic>
                    <pic:nvPicPr>
                      <pic:cNvPr descr="Elemento gráfico decorativo vermelho com a numeração da página.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9705" cy="919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  <w:spacing w:after="8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before="160" w:lineRule="auto"/>
    </w:pPr>
    <w:rPr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60" w:before="10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Rule="auto"/>
      <w:ind w:firstLine="0"/>
      <w:jc w:val="center"/>
    </w:pPr>
    <w:rPr>
      <w:b w:val="1"/>
      <w:bCs w:val="1"/>
      <w:color w:val="000000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b w:val="1"/>
      <w:bCs w:val="1"/>
      <w:sz w:val="36"/>
      <w:szCs w:val="36"/>
    </w:r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Cabealho">
    <w:name w:val="header"/>
    <w:basedOn w:val="Normal"/>
    <w:link w:val="CabealhoChar"/>
    <w:uiPriority w:val="99"/>
    <w:unhideWhenUsed w:val="1"/>
    <w:rsid w:val="0060353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0353C"/>
    <w:rPr>
      <w:rFonts w:ascii="Archivo-SemiBold" w:cs="Archivo-SemiBold" w:eastAsia="Archivo-SemiBold" w:hAnsi="Archivo-SemiBold"/>
    </w:rPr>
  </w:style>
  <w:style w:type="paragraph" w:styleId="Rodap">
    <w:name w:val="footer"/>
    <w:basedOn w:val="Normal"/>
    <w:link w:val="RodapChar"/>
    <w:uiPriority w:val="99"/>
    <w:unhideWhenUsed w:val="1"/>
    <w:rsid w:val="0060353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0353C"/>
    <w:rPr>
      <w:rFonts w:ascii="Archivo-SemiBold" w:cs="Archivo-SemiBold" w:eastAsia="Archivo-SemiBold" w:hAnsi="Archivo-SemiBold"/>
    </w:rPr>
  </w:style>
  <w:style w:type="character" w:styleId="Ttulo1Char" w:customStyle="1">
    <w:name w:val="Título 1 Char"/>
    <w:basedOn w:val="Fontepargpadro"/>
    <w:uiPriority w:val="9"/>
    <w:rsid w:val="005844E8"/>
    <w:rPr>
      <w:rFonts w:ascii="Calibri" w:hAnsi="Calibri" w:cstheme="majorBidi" w:eastAsiaTheme="majorEastAsia"/>
      <w:b w:val="1"/>
      <w:caps w:val="1"/>
      <w:sz w:val="24"/>
      <w:szCs w:val="32"/>
      <w:lang w:val="pt-BR"/>
    </w:rPr>
  </w:style>
  <w:style w:type="character" w:styleId="Ttulo2Char" w:customStyle="1">
    <w:name w:val="Título 2 Char"/>
    <w:basedOn w:val="Fontepargpadro"/>
    <w:rsid w:val="005844E8"/>
    <w:rPr>
      <w:rFonts w:ascii="Calibri" w:hAnsi="Calibri" w:cstheme="majorBidi" w:eastAsiaTheme="majorEastAsia"/>
      <w:b w:val="1"/>
      <w:sz w:val="24"/>
      <w:szCs w:val="26"/>
      <w:lang w:val="pt-BR"/>
    </w:rPr>
  </w:style>
  <w:style w:type="paragraph" w:styleId="Textodenotaderodap">
    <w:name w:val="footnote text"/>
    <w:basedOn w:val="Normal"/>
    <w:link w:val="TextodenotaderodapChar"/>
    <w:semiHidden w:val="1"/>
    <w:rsid w:val="005844E8"/>
    <w:pPr>
      <w:widowControl w:val="1"/>
    </w:pPr>
    <w:rPr>
      <w:rFonts w:ascii="Calibri" w:cs="Times New Roman" w:eastAsia="Calibri" w:hAnsi="Calibri"/>
      <w:sz w:val="20"/>
      <w:szCs w:val="20"/>
      <w:lang w:val="pt-BR"/>
    </w:rPr>
  </w:style>
  <w:style w:type="character" w:styleId="TextodenotaderodapChar" w:customStyle="1">
    <w:name w:val="Texto de nota de rodapé Char"/>
    <w:basedOn w:val="Fontepargpadro"/>
    <w:link w:val="Textodenotaderodap"/>
    <w:semiHidden w:val="1"/>
    <w:rsid w:val="005844E8"/>
    <w:rPr>
      <w:rFonts w:ascii="Calibri" w:cs="Times New Roman" w:eastAsia="Calibri" w:hAnsi="Calibri"/>
      <w:sz w:val="20"/>
      <w:szCs w:val="20"/>
      <w:lang w:val="pt-BR"/>
    </w:rPr>
  </w:style>
  <w:style w:type="character" w:styleId="Refdenotaderodap">
    <w:name w:val="footnote reference"/>
    <w:basedOn w:val="Fontepargpadro"/>
    <w:semiHidden w:val="1"/>
    <w:rsid w:val="005844E8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unhideWhenUsed w:val="1"/>
    <w:rsid w:val="005844E8"/>
    <w:pPr>
      <w:widowControl w:val="1"/>
    </w:pPr>
    <w:rPr>
      <w:rFonts w:ascii="Calibri" w:cs="Times New Roman" w:eastAsia="Calibri" w:hAnsi="Calibri"/>
      <w:sz w:val="20"/>
      <w:szCs w:val="20"/>
      <w:lang w:val="pt-BR"/>
    </w:rPr>
  </w:style>
  <w:style w:type="character" w:styleId="TextodenotadefimChar" w:customStyle="1">
    <w:name w:val="Texto de nota de fim Char"/>
    <w:basedOn w:val="Fontepargpadro"/>
    <w:link w:val="Textodenotadefim"/>
    <w:uiPriority w:val="99"/>
    <w:rsid w:val="005844E8"/>
    <w:rPr>
      <w:rFonts w:ascii="Calibri" w:cs="Times New Roman" w:eastAsia="Calibri" w:hAnsi="Calibri"/>
      <w:sz w:val="20"/>
      <w:szCs w:val="20"/>
      <w:lang w:val="pt-BR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5844E8"/>
    <w:rPr>
      <w:vertAlign w:val="superscript"/>
    </w:rPr>
  </w:style>
  <w:style w:type="table" w:styleId="Tabelacomgrade">
    <w:name w:val="Table Grid"/>
    <w:basedOn w:val="Tabelanormal"/>
    <w:uiPriority w:val="39"/>
    <w:rsid w:val="005844E8"/>
    <w:pPr>
      <w:widowControl w:val="1"/>
    </w:pPr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5844E8"/>
    <w:pPr>
      <w:widowControl w:val="1"/>
      <w:adjustRightInd w:val="0"/>
    </w:pPr>
    <w:rPr>
      <w:rFonts w:ascii="Calibri" w:cs="Calibri" w:eastAsia="Times New Roman" w:hAnsi="Calibri"/>
      <w:color w:val="000000"/>
      <w:lang w:val="pt-BR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pPr>
      <w:widowControl w:val="1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character" w:styleId="Hyperlink">
    <w:name w:val="Hyperlink"/>
    <w:basedOn w:val="Fontepargpadro"/>
    <w:uiPriority w:val="99"/>
    <w:unhideWhenUsed w:val="1"/>
    <w:rsid w:val="006D7E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6D7E8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lineRule="auto"/>
      <w:ind w:firstLine="0"/>
      <w:jc w:val="center"/>
    </w:pPr>
    <w:rPr>
      <w:b w:val="1"/>
      <w:bCs w:val="1"/>
      <w:color w:val="000000"/>
    </w:rPr>
  </w:style>
  <w:style w:type="table" w:styleId="Table1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13" Type="http://schemas.openxmlformats.org/officeDocument/2006/relationships/header" Target="header1.xml"/><Relationship Id="rId12" Type="http://schemas.openxmlformats.org/officeDocument/2006/relationships/hyperlink" Target="https://orcid.org/0000-0002-2812-36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doi.org/10.1016/j.ymssp.2005.09.01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XZQOyE27dieUMVAci/eOFzjAQ==">CgMxLjA4AHIhMUxFeFoxN0lrUFhJS1lHQ0hMRUozbUVaU3NDVTJJdDFY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2026-09-22T23:02:00Z</dcterms:created>
  <dc:creator>Jéssica Franzon Cruz do Espírito Santo;Nicoli Felipe;Vinicius de Jesus Silva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Adobe Illustrator 26.2 (Macintosh)</vt:lpwstr>
  </property>
  <property fmtid="{D5CDD505-2E9C-101B-9397-08002B2CF9AE}" pid="4" name="LastSaved">
    <vt:filetime>2022-05-23T00:00:00Z</vt:filetime>
  </property>
</Properties>
</file>