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Title"/>
      </w:pPr>
      <w:r>
        <w:rPr>
          <w:rFonts w:ascii="Arial" w:hAnsi="Arial"/>
        </w:rPr>
        <w:t>FINE-TUNING MULTIDOMÍNIO COM QLORA EM LLMS PARA RACIOCÍNIO FINANCEIRO E DIAGNÓSTICO INDUSTRIAL</w:t>
      </w:r>
    </w:p>
    <w:p>
      <w:pPr>
        <w:pStyle w:val="Subtitle"/>
      </w:pPr>
      <w:r>
        <w:rPr>
          <w:rFonts w:ascii="Arial" w:hAnsi="Arial"/>
        </w:rPr>
        <w:t>MULTIDOMAIN QLORA FINE-TUNING OF LLMS FOR FINANCIAL REASONING AND INDUSTRIAL DIAGNOSIS</w:t>
      </w:r>
    </w:p>
    <w:p>
      <w:pPr>
        <w:spacing w:after="40"/>
        <w:ind w:firstLine="0"/>
        <w:jc w:val="center"/>
      </w:pPr>
      <w:r>
        <w:rPr>
          <w:rFonts w:ascii="Arial" w:hAnsi="Arial"/>
          <w:b/>
          <w:sz w:val="21"/>
        </w:rPr>
        <w:t>Jéssica Franzon Cruz do Espírito Santo</w:t>
      </w:r>
      <w:r>
        <w:rPr>
          <w:rFonts w:ascii="Arial" w:hAnsi="Arial"/>
          <w:sz w:val="14"/>
          <w:vertAlign w:val="superscript"/>
        </w:rPr>
        <w:t>i</w:t>
      </w:r>
      <w:r>
        <w:rPr>
          <w:rFonts w:ascii="Arial" w:hAnsi="Arial"/>
        </w:rPr>
        <w:t xml:space="preserve">; </w:t>
      </w:r>
      <w:r>
        <w:rPr>
          <w:rFonts w:ascii="Arial" w:hAnsi="Arial"/>
          <w:b/>
          <w:sz w:val="21"/>
        </w:rPr>
        <w:t>Nicoli Felipe</w:t>
      </w:r>
      <w:r>
        <w:rPr>
          <w:rFonts w:ascii="Arial" w:hAnsi="Arial"/>
          <w:sz w:val="14"/>
          <w:vertAlign w:val="superscript"/>
        </w:rPr>
        <w:t>ii</w:t>
      </w:r>
      <w:r>
        <w:rPr>
          <w:rFonts w:ascii="Arial" w:hAnsi="Arial"/>
        </w:rPr>
        <w:t xml:space="preserve">; </w:t>
      </w:r>
      <w:r>
        <w:rPr>
          <w:rFonts w:ascii="Arial" w:hAnsi="Arial"/>
          <w:b/>
          <w:sz w:val="21"/>
        </w:rPr>
        <w:t>Vinicius de Jesus Silva</w:t>
      </w:r>
      <w:r>
        <w:rPr>
          <w:rFonts w:ascii="Arial" w:hAnsi="Arial"/>
          <w:sz w:val="14"/>
          <w:vertAlign w:val="superscript"/>
        </w:rPr>
        <w:t>iii</w:t>
      </w:r>
    </w:p>
    <w:p>
      <w:pPr>
        <w:spacing w:after="0"/>
        <w:ind w:firstLine="0"/>
        <w:jc w:val="center"/>
      </w:pPr>
      <w:r>
        <w:rPr>
          <w:rFonts w:ascii="Arial" w:hAnsi="Arial"/>
          <w:sz w:val="16"/>
        </w:rPr>
        <w:t>i Mestranda em Engenharia da Informação (UFABC) e docente do Centro Universitário SENAI-SP, Campus São Caetano do Sul – Centro.</w:t>
      </w:r>
    </w:p>
    <w:p>
      <w:pPr>
        <w:spacing w:after="0"/>
        <w:ind w:firstLine="0"/>
        <w:jc w:val="center"/>
      </w:pPr>
      <w:r>
        <w:rPr>
          <w:rFonts w:ascii="Arial" w:hAnsi="Arial"/>
          <w:sz w:val="16"/>
        </w:rPr>
        <w:t>ii Graduanda em Ciência de Dados pelo Centro Universitário SENAI-SP, Campus São Caetano do Sul – Centro.</w:t>
      </w:r>
    </w:p>
    <w:p>
      <w:pPr>
        <w:spacing w:after="0"/>
        <w:ind w:firstLine="0"/>
        <w:jc w:val="center"/>
      </w:pPr>
      <w:r>
        <w:rPr>
          <w:rFonts w:ascii="Arial" w:hAnsi="Arial"/>
          <w:sz w:val="16"/>
        </w:rPr>
        <w:t>iii Graduado em Ciência de Dados pelo Centro Universitário SENAI-SP, Campus São Caetano do Sul – Centro.</w:t>
      </w:r>
    </w:p>
    <w:p>
      <w:pPr>
        <w:pStyle w:val="Ttulo1"/>
        <w:ind w:left="0" w:firstLine="0"/>
      </w:pPr>
      <w:r>
        <w:rPr>
          <w:rFonts w:ascii="Arial" w:hAnsi="Arial"/>
        </w:rPr>
        <w:t>RESUMO</w:t>
      </w:r>
    </w:p>
    <w:p>
      <w:pPr>
        <w:spacing w:line="240" w:lineRule="auto" w:before="0" w:after="60"/>
        <w:ind w:firstLine="0"/>
        <w:jc w:val="both"/>
      </w:pPr>
      <w:r>
        <w:rPr>
          <w:rFonts w:ascii="Arial" w:hAnsi="Arial"/>
          <w:b w:val="0"/>
          <w:i w:val="0"/>
          <w:sz w:val="18"/>
        </w:rPr>
        <w:t>Este estudo investiga a especialização do Qwen2.5-7B-Instruct para raciocínio financeiro e diagnóstico industrial por meio de QLoRA. Foram comparados o modelo base, dois ajustes especializados e um ajuste híbrido em duas baterias experimentais: a primeira com limite de 1.024 tokens e taxa de aprendizado de 2×10⁻⁴; a segunda com limite de 4.096 tokens e taxas distintas entre os ajustes. No FinQA, a maior acurácia numérica foi obtida pelo FT-FinQA de 4.096 tokens (15,42%). No FailureSensorIQ, reavaliado como tarefa multirrótulo, o FT-Failure de 1.024 tokens atingiu 96,63% de acurácia de correspondência exata e F1 macro de 0,989. O FT-Híbrido de 1.024 tokens apresentou 10,61% no FinQA e 80,39% no domínio industrial, constituindo o melhor compromisso dentro da bateria comparável. Os resultados mostram benefícios da especialização, mas não permitem atribuir diferenças da segunda bateria apenas à janela de contexto, pois taxa de aprendizado e microbatch também variaram.</w:t>
      </w:r>
    </w:p>
    <w:p>
      <w:pPr>
        <w:spacing w:line="240" w:lineRule="auto" w:before="0" w:after="60"/>
        <w:ind w:firstLine="0"/>
        <w:jc w:val="both"/>
      </w:pPr>
      <w:r>
        <w:rPr>
          <w:rFonts w:ascii="Arial" w:hAnsi="Arial"/>
          <w:b/>
          <w:i w:val="0"/>
          <w:sz w:val="18"/>
        </w:rPr>
        <w:t>Palavras-chave: modelos de linguagem; QLoRA; FinQA; diagnóstico de falhas; aprendizado multidomínio.</w:t>
      </w:r>
    </w:p>
    <w:p>
      <w:pPr>
        <w:pStyle w:val="Ttulo1"/>
        <w:ind w:left="0" w:firstLine="0"/>
      </w:pPr>
      <w:r>
        <w:rPr>
          <w:rFonts w:ascii="Arial" w:hAnsi="Arial"/>
        </w:rPr>
        <w:t>ABSTRACT</w:t>
      </w:r>
    </w:p>
    <w:p>
      <w:pPr>
        <w:spacing w:line="240" w:lineRule="auto" w:before="0" w:after="60"/>
        <w:ind w:firstLine="0"/>
        <w:jc w:val="both"/>
      </w:pPr>
      <w:r>
        <w:rPr>
          <w:rFonts w:ascii="Arial" w:hAnsi="Arial"/>
          <w:b w:val="0"/>
          <w:i w:val="0"/>
          <w:sz w:val="18"/>
        </w:rPr>
        <w:t>This study investigates QLoRA-based specialization of Qwen2.5-7B-Instruct for financial reasoning and industrial diagnosis. The base model, two domain-specialized models, and a hybrid model were compared in two experimental batteries: one limited to 1,024 tokens with a 2×10⁻⁴ learning rate, and an exploratory 4,096-token battery with model-dependent learning rates. FT-FinQA at 4,096 tokens achieved the highest FinQA numerical accuracy (15.42%). On FailureSensorIQ, correctly evaluated as a multilabel task, FT-Failure at 1,024 tokens reached 96.63% exact-set accuracy and 0.989 macro F1. The 1,024-token hybrid reached 10.61% on FinQA and 80.39% on the industrial benchmark, representing the best balance within the comparable battery. Because more than context length changed, the second battery is reported separately rather than as a controlled truncation ablation.</w:t>
      </w:r>
    </w:p>
    <w:p>
      <w:pPr>
        <w:spacing w:line="240" w:lineRule="auto" w:before="0" w:after="60"/>
        <w:ind w:firstLine="0"/>
        <w:jc w:val="both"/>
      </w:pPr>
      <w:r>
        <w:rPr>
          <w:rFonts w:ascii="Arial" w:hAnsi="Arial"/>
          <w:b/>
          <w:i w:val="0"/>
          <w:sz w:val="18"/>
        </w:rPr>
        <w:t>Keywords: large language models; QLoRA; FinQA; fault diagnosis; multidomain learning.</w:t>
      </w:r>
    </w:p>
    <w:p>
      <w:pPr>
        <w:pStyle w:val="Ttulo1"/>
        <w:ind w:left="0" w:firstLine="0"/>
      </w:pPr>
      <w:r>
        <w:rPr>
          <w:rFonts w:ascii="Arial" w:hAnsi="Arial"/>
        </w:rPr>
        <w:t>1 INTRODUÇÃO</w:t>
      </w:r>
    </w:p>
    <w:p>
      <w:pPr>
        <w:spacing w:line="240" w:lineRule="auto" w:before="0" w:after="60"/>
        <w:ind w:firstLine="567"/>
        <w:jc w:val="both"/>
      </w:pPr>
      <w:r>
        <w:rPr>
          <w:rFonts w:ascii="Arial" w:hAnsi="Arial"/>
          <w:b w:val="0"/>
          <w:i w:val="0"/>
          <w:sz w:val="24"/>
        </w:rPr>
        <w:t>Decisões industriais e financeiras são interdependentes: falhas elevam custos de manutenção, paradas reduzem produção e receita, problemas de qualidade geram retrabalho e desperdício, e investimentos em automação alteram produtividade, custo e retorno. A análise conjunta desses efeitos pode melhorar o planejamento e a priorização de recursos, sobretudo em ambientes com grande volume de dados operacionais e contábeis.</w:t>
      </w:r>
    </w:p>
    <w:p>
      <w:pPr>
        <w:spacing w:line="240" w:lineRule="auto" w:before="0" w:after="60"/>
        <w:ind w:firstLine="567"/>
        <w:jc w:val="both"/>
      </w:pPr>
      <w:r>
        <w:rPr>
          <w:rFonts w:ascii="Arial" w:hAnsi="Arial"/>
          <w:b w:val="0"/>
          <w:i w:val="0"/>
          <w:sz w:val="24"/>
        </w:rPr>
        <w:t>Embora modelos de linguagem de grande porte processem linguagem e números, versões generalistas ainda apresentam limitações em cálculos multietapas, interpretação de tabelas financeiras e diagnóstico técnico específico. Trabalhos sobre FinQA e manutenção baseada em condição evidenciam que cada domínio demanda conhecimento e padrões de resposta próprios (CHEN et al., 2021; JARDINE; LIN; BANJEVIC, 2006). Ainda é pouco explorada a especialização de um único modelo capaz de preservar capacidades nos dois domínios sem favorecer indevidamente apenas um deles.</w:t>
      </w:r>
    </w:p>
    <w:p>
      <w:pPr>
        <w:spacing w:line="240" w:lineRule="auto" w:before="0" w:after="60"/>
        <w:ind w:firstLine="567"/>
        <w:jc w:val="both"/>
      </w:pPr>
      <w:r>
        <w:rPr>
          <w:rFonts w:ascii="Arial" w:hAnsi="Arial"/>
          <w:b w:val="0"/>
          <w:i w:val="0"/>
          <w:sz w:val="24"/>
        </w:rPr>
        <w:t>O objetivo é avaliar o Qwen2.5-7B-Instruct, ajustado com QLoRA, em quatro configurações — Base, FT-FinQA, FT-Failure e FT-Híbrido — e em duas baterias com limites de 1.024 e 4.096 tokens. As contribuições são: comparação cruzada sob protocolos documentados; correção da avaliação multirrótulo do FailureSensorIQ; e análise do efeito conjunto de contexto, taxa de aprendizado e composição dos dados. Cenários sintéticos que relacionem ocorrências industriais a consequências financeiras não são reportados como resultado, por ainda não terem execução documentada.</w:t>
      </w:r>
    </w:p>
    <w:p>
      <w:pPr>
        <w:pStyle w:val="Ttulo1"/>
        <w:ind w:left="0" w:firstLine="0"/>
      </w:pPr>
      <w:r>
        <w:rPr>
          <w:rFonts w:ascii="Arial" w:hAnsi="Arial"/>
        </w:rPr>
        <w:t>2 FUNDAMENTAÇÃO TEÓRICA</w:t>
      </w:r>
    </w:p>
    <w:p>
      <w:pPr>
        <w:pStyle w:val="Ttulo2"/>
        <w:ind w:left="0" w:firstLine="0"/>
      </w:pPr>
      <w:r>
        <w:rPr>
          <w:rFonts w:ascii="Arial" w:hAnsi="Arial"/>
        </w:rPr>
        <w:t>2.1 LLMs para raciocínio financeiro e diagnóstico industrial</w:t>
      </w:r>
    </w:p>
    <w:p>
      <w:pPr>
        <w:spacing w:line="240" w:lineRule="auto" w:before="0" w:after="60"/>
        <w:ind w:firstLine="567"/>
        <w:jc w:val="both"/>
      </w:pPr>
      <w:r>
        <w:rPr>
          <w:rFonts w:ascii="Arial" w:hAnsi="Arial"/>
          <w:b w:val="0"/>
          <w:i w:val="0"/>
          <w:sz w:val="24"/>
        </w:rPr>
        <w:t>O FinQA combina textos, tabelas e perguntas numéricas que exigem localizar valores e executar programas matemáticos (CHEN et al., 2021). No domínio industrial, o FailureSensorIQ reúne questões de múltipla escolha, inclusive multirrótulo, sobre sensores, condições operacionais e modos de falha. Enquanto o primeiro enfatiza raciocínio quantitativo contextual, o segundo exige distinção entre alternativas técnicas semanticamente próximas. A avaliação conjunta permite observar especialização e transferência, mas não substitui um teste integrado de causalidade econômico-operacional.</w:t>
      </w:r>
    </w:p>
    <w:p>
      <w:pPr>
        <w:pStyle w:val="Ttulo2"/>
        <w:ind w:left="0" w:firstLine="0"/>
      </w:pPr>
      <w:r>
        <w:rPr>
          <w:rFonts w:ascii="Arial" w:hAnsi="Arial"/>
        </w:rPr>
        <w:t>2.2 Fine-tuning eficiente com LoRA e QLoRA</w:t>
      </w:r>
    </w:p>
    <w:p>
      <w:pPr>
        <w:spacing w:line="240" w:lineRule="auto" w:before="0" w:after="60"/>
        <w:ind w:firstLine="567"/>
        <w:jc w:val="both"/>
      </w:pPr>
      <w:r>
        <w:rPr>
          <w:rFonts w:ascii="Arial" w:hAnsi="Arial"/>
          <w:b w:val="0"/>
          <w:i w:val="0"/>
          <w:sz w:val="24"/>
        </w:rPr>
        <w:t>LoRA introduz matrizes de baixa dimensão em módulos selecionados e mantém congelados os pesos principais (HU et al., 2021). QLoRA combina essa adaptação com quantização NF4 de 4 bits para reduzir memória durante o ajuste (DETTMERS et al., 2023). No Qwen2.5-7B-Instruct (YANG et al., 2024), essa estratégia viabilizou os experimentos em uma única GPU H100 de 80 GB. A taxa de aprendizado controla a magnitude de cada atualização: valores altos aceleram a adaptação, mas podem desestabilizar o treinamento ou apagar capacidades; valores baixos favorecem estabilidade, porém podem resultar em subajuste.</w:t>
      </w:r>
    </w:p>
    <w:p>
      <w:pPr>
        <w:pStyle w:val="Ttulo1"/>
        <w:ind w:left="0" w:firstLine="0"/>
      </w:pPr>
      <w:r>
        <w:rPr>
          <w:rFonts w:ascii="Arial" w:hAnsi="Arial"/>
        </w:rPr>
        <w:t>3 METODOLOGIA</w:t>
      </w:r>
    </w:p>
    <w:p>
      <w:pPr>
        <w:spacing w:line="240" w:lineRule="auto" w:before="0" w:after="60"/>
        <w:ind w:firstLine="567"/>
        <w:jc w:val="both"/>
      </w:pPr>
      <w:r>
        <w:rPr>
          <w:rFonts w:ascii="Arial" w:hAnsi="Arial"/>
          <w:b w:val="0"/>
          <w:i w:val="0"/>
          <w:sz w:val="24"/>
        </w:rPr>
        <w:t>Foram utilizados o FinQA no domínio financeiro e o FailureSensorIQ no domínio industrial. Os registros foram normalizados para formato de instrução, tokenizados com o tokenizer do Qwen2.5 e separados em treino, validação e teste. Os conjuntos de teste contêm 617 e 831 exemplos, respectivamente. Uma verificação por texto exato não encontrou prompts idênticos entre treino e teste, reduzindo o risco de vazamento direto, embora não exclua similaridade semântica.</w:t>
      </w:r>
    </w:p>
    <w:p>
      <w:pPr>
        <w:spacing w:line="240" w:lineRule="auto" w:before="0" w:after="60"/>
        <w:ind w:firstLine="567"/>
        <w:jc w:val="both"/>
      </w:pPr>
      <w:r>
        <w:rPr>
          <w:rFonts w:ascii="Arial" w:hAnsi="Arial"/>
          <w:b w:val="0"/>
          <w:i w:val="0"/>
          <w:sz w:val="24"/>
        </w:rPr>
        <w:t>As quatro configurações foram derivadas do mesmo modelo base: sem ajuste, especializado em FinQA, especializado em FailureSensorIQ e híbrido. A Bateria A limita treinamento e inferência a 1.024 tokens e usa taxa de 2×10⁻⁴ em todos os ajustes. A Bateria B aplica 4.096 tokens, preserva 2×10⁻⁴ no FT-FinQA e usa 5×10⁻⁵ no FT-Failure e no FT-Híbrido. Como microbatch e taxa também mudaram, as baterias representam protocolos distintos, não uma ablação controlada exclusivamente do truncamento.</w:t>
      </w:r>
    </w:p>
    <w:p>
      <w:pPr>
        <w:keepNext/>
        <w:spacing w:before="60" w:after="40"/>
        <w:ind w:firstLine="0"/>
        <w:jc w:val="center"/>
      </w:pPr>
      <w:r>
        <w:rPr>
          <w:rFonts w:ascii="Arial" w:hAnsi="Arial"/>
          <w:b/>
          <w:sz w:val="18"/>
        </w:rPr>
        <w:t>Tabela 1 – Datasets, configurações e hiperparâmetros principais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1"/>
        <w:gridCol w:w="3101"/>
        <w:gridCol w:w="3101"/>
      </w:tblGrid>
      <w:tr>
        <w:trPr>
          <w:tblHeader/>
        </w:trPr>
        <w:tc>
          <w:tcPr>
            <w:tcW w:type="dxa" w:w="2948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D1C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8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D1C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Bateria A</w:t>
            </w:r>
          </w:p>
        </w:tc>
        <w:tc>
          <w:tcPr>
            <w:tcW w:type="dxa" w:w="28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D1C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Bateria B</w:t>
            </w:r>
          </w:p>
        </w:tc>
      </w:tr>
      <w:tr>
        <w:tc>
          <w:tcPr>
            <w:tcW w:type="dxa" w:w="2948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Limite treino/inferência</w:t>
            </w:r>
          </w:p>
        </w:tc>
        <w:tc>
          <w:tcPr>
            <w:tcW w:type="dxa" w:w="28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1.024 / 1.024</w:t>
            </w:r>
          </w:p>
        </w:tc>
        <w:tc>
          <w:tcPr>
            <w:tcW w:type="dxa" w:w="28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4.096 / 4.096</w:t>
            </w:r>
          </w:p>
        </w:tc>
      </w:tr>
      <w:tr>
        <w:tc>
          <w:tcPr>
            <w:tcW w:type="dxa" w:w="2948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LR FT-FinQA</w:t>
            </w:r>
          </w:p>
        </w:tc>
        <w:tc>
          <w:tcPr>
            <w:tcW w:type="dxa" w:w="28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2×10⁻⁴</w:t>
            </w:r>
          </w:p>
        </w:tc>
        <w:tc>
          <w:tcPr>
            <w:tcW w:type="dxa" w:w="28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2×10⁻⁴</w:t>
            </w:r>
          </w:p>
        </w:tc>
      </w:tr>
      <w:tr>
        <w:tc>
          <w:tcPr>
            <w:tcW w:type="dxa" w:w="2948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LR FT-Failure/Híbrido</w:t>
            </w:r>
          </w:p>
        </w:tc>
        <w:tc>
          <w:tcPr>
            <w:tcW w:type="dxa" w:w="28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2×10⁻⁴</w:t>
            </w:r>
          </w:p>
        </w:tc>
        <w:tc>
          <w:tcPr>
            <w:tcW w:type="dxa" w:w="28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5×10⁻⁵</w:t>
            </w:r>
          </w:p>
        </w:tc>
      </w:tr>
      <w:tr>
        <w:tc>
          <w:tcPr>
            <w:tcW w:type="dxa" w:w="2948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Microbatch × acumulação</w:t>
            </w:r>
          </w:p>
        </w:tc>
        <w:tc>
          <w:tcPr>
            <w:tcW w:type="dxa" w:w="28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4 × 8</w:t>
            </w:r>
          </w:p>
        </w:tc>
        <w:tc>
          <w:tcPr>
            <w:tcW w:type="dxa" w:w="28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2 × 16</w:t>
            </w:r>
          </w:p>
        </w:tc>
      </w:tr>
      <w:tr>
        <w:tc>
          <w:tcPr>
            <w:tcW w:type="dxa" w:w="2948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Batch efetivo; épocas; seed</w:t>
            </w:r>
          </w:p>
        </w:tc>
        <w:tc>
          <w:tcPr>
            <w:tcW w:type="dxa" w:w="28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32; 3; 42</w:t>
            </w:r>
          </w:p>
        </w:tc>
        <w:tc>
          <w:tcPr>
            <w:tcW w:type="dxa" w:w="28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32; 3; 42</w:t>
            </w:r>
          </w:p>
        </w:tc>
      </w:tr>
      <w:tr>
        <w:tc>
          <w:tcPr>
            <w:tcW w:type="dxa" w:w="2948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QLoRA / LoRA</w:t>
            </w:r>
          </w:p>
        </w:tc>
        <w:tc>
          <w:tcPr>
            <w:tcW w:type="dxa" w:w="28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NF4; r=8; α=16; dropout=0,1</w:t>
            </w:r>
          </w:p>
        </w:tc>
        <w:tc>
          <w:tcPr>
            <w:tcW w:type="dxa" w:w="28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NF4; r=8; α=16; dropout=0,1</w:t>
            </w:r>
          </w:p>
        </w:tc>
      </w:tr>
      <w:tr>
        <w:tc>
          <w:tcPr>
            <w:tcW w:type="dxa" w:w="2948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Avaliação</w:t>
            </w:r>
          </w:p>
        </w:tc>
        <w:tc>
          <w:tcPr>
            <w:tcW w:type="dxa" w:w="28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FinQA n=617; Failure n=831</w:t>
            </w:r>
          </w:p>
        </w:tc>
        <w:tc>
          <w:tcPr>
            <w:tcW w:type="dxa" w:w="28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FinQA n=617; Failure n=831</w:t>
            </w:r>
          </w:p>
        </w:tc>
      </w:tr>
    </w:tbl>
    <w:p>
      <w:pPr>
        <w:spacing w:after="20"/>
      </w:pPr>
    </w:p>
    <w:p>
      <w:pPr>
        <w:spacing w:before="20" w:after="60"/>
        <w:ind w:firstLine="0"/>
        <w:jc w:val="left"/>
      </w:pPr>
      <w:r>
        <w:rPr>
          <w:rFonts w:ascii="Arial" w:hAnsi="Arial"/>
          <w:sz w:val="16"/>
        </w:rPr>
        <w:t>Fonte: elaboração própria a partir dos manifestos de execução preservados.</w:t>
      </w:r>
    </w:p>
    <w:p>
      <w:pPr>
        <w:spacing w:line="240" w:lineRule="auto" w:before="0" w:after="60"/>
        <w:ind w:firstLine="567"/>
        <w:jc w:val="both"/>
      </w:pPr>
      <w:r>
        <w:rPr>
          <w:rFonts w:ascii="Arial" w:hAnsi="Arial"/>
          <w:b w:val="0"/>
          <w:i w:val="0"/>
          <w:sz w:val="24"/>
        </w:rPr>
        <w:t>Os ajustes foram executados com QLoRA/NF4, LoRA nos módulos de atenção e MLP e precisão mista. O FinQA foi medido por acurácia numérica. O FailureSensorIQ foi reprocessado a partir das predições salvas como tarefa multirrótulo: a métrica principal é a correspondência exata do conjunto de alternativas e a complementar é o F1 macro por rótulo. A geração foi determinística, e cada configuração foi comparada apenas dentro da bateria correspondente.</w:t>
      </w:r>
    </w:p>
    <w:p>
      <w:pPr>
        <w:pStyle w:val="Ttulo1"/>
        <w:ind w:left="0" w:firstLine="0"/>
      </w:pPr>
      <w:r>
        <w:rPr>
          <w:rFonts w:ascii="Arial" w:hAnsi="Arial"/>
        </w:rPr>
        <w:t>4 RESULTADOS E DISCUSSÃO</w:t>
      </w:r>
    </w:p>
    <w:p>
      <w:pPr>
        <w:spacing w:line="240" w:lineRule="auto" w:before="0" w:after="60"/>
        <w:ind w:firstLine="567"/>
        <w:jc w:val="both"/>
      </w:pPr>
      <w:r>
        <w:rPr>
          <w:rFonts w:ascii="Arial" w:hAnsi="Arial"/>
          <w:b w:val="0"/>
          <w:i w:val="0"/>
          <w:sz w:val="24"/>
        </w:rPr>
        <w:t>A Tabela 2 consolida os resultados. Na Bateria A, o FT-Híbrido obteve a maior acurácia financeira (10,61%) por pequena margem sobre o FT-FinQA (10,45%) e preservou desempenho industrial elevado (80,39%). O FT-Failure foi superior no FailureSensorIQ (96,63%). Portanto, o híbrido apresenta o melhor equilíbrio na matriz comparável, mas não supera o especialista industrial em seu próprio domínio.</w:t>
      </w:r>
    </w:p>
    <w:p>
      <w:pPr>
        <w:keepNext/>
        <w:spacing w:before="60" w:after="40"/>
        <w:ind w:firstLine="0"/>
        <w:jc w:val="center"/>
      </w:pPr>
      <w:r>
        <w:rPr>
          <w:rFonts w:ascii="Arial" w:hAnsi="Arial"/>
          <w:b/>
          <w:sz w:val="18"/>
        </w:rPr>
        <w:t>Tabela 2 – Resultados dos quatro modelos nas duas baterias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/>
        </w:trPr>
        <w:tc>
          <w:tcPr>
            <w:tcW w:type="dxa" w:w="11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D1C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Bateria</w:t>
            </w:r>
          </w:p>
        </w:tc>
        <w:tc>
          <w:tcPr>
            <w:tcW w:type="dxa" w:w="204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D1C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Modelo</w:t>
            </w:r>
          </w:p>
        </w:tc>
        <w:tc>
          <w:tcPr>
            <w:tcW w:type="dxa" w:w="181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D1C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FinQA</w:t>
              <w:br/>
              <w:t>Acur. num.</w:t>
            </w:r>
          </w:p>
        </w:tc>
        <w:tc>
          <w:tcPr>
            <w:tcW w:type="dxa" w:w="2098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D1C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Failure</w:t>
              <w:br/>
              <w:t>Acur. conjunto</w:t>
            </w:r>
          </w:p>
        </w:tc>
        <w:tc>
          <w:tcPr>
            <w:tcW w:type="dxa" w:w="170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D1C2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Failure</w:t>
              <w:br/>
              <w:t>F1 macro</w:t>
            </w:r>
          </w:p>
        </w:tc>
      </w:tr>
      <w:tr>
        <w:tc>
          <w:tcPr>
            <w:tcW w:type="dxa" w:w="11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1.024</w:t>
            </w:r>
          </w:p>
        </w:tc>
        <w:tc>
          <w:tcPr>
            <w:tcW w:type="dxa" w:w="204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Base</w:t>
            </w:r>
          </w:p>
        </w:tc>
        <w:tc>
          <w:tcPr>
            <w:tcW w:type="dxa" w:w="181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1,49%</w:t>
            </w:r>
          </w:p>
        </w:tc>
        <w:tc>
          <w:tcPr>
            <w:tcW w:type="dxa" w:w="2098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12,52%</w:t>
            </w:r>
          </w:p>
        </w:tc>
        <w:tc>
          <w:tcPr>
            <w:tcW w:type="dxa" w:w="170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0,318</w:t>
            </w:r>
          </w:p>
        </w:tc>
      </w:tr>
      <w:tr>
        <w:tc>
          <w:tcPr>
            <w:tcW w:type="dxa" w:w="11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1.024</w:t>
            </w:r>
          </w:p>
        </w:tc>
        <w:tc>
          <w:tcPr>
            <w:tcW w:type="dxa" w:w="204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FT-FinQA</w:t>
            </w:r>
          </w:p>
        </w:tc>
        <w:tc>
          <w:tcPr>
            <w:tcW w:type="dxa" w:w="181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10,45%</w:t>
            </w:r>
          </w:p>
        </w:tc>
        <w:tc>
          <w:tcPr>
            <w:tcW w:type="dxa" w:w="2098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12,88%</w:t>
            </w:r>
          </w:p>
        </w:tc>
        <w:tc>
          <w:tcPr>
            <w:tcW w:type="dxa" w:w="170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0,384</w:t>
            </w:r>
          </w:p>
        </w:tc>
      </w:tr>
      <w:tr>
        <w:tc>
          <w:tcPr>
            <w:tcW w:type="dxa" w:w="11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1.024</w:t>
            </w:r>
          </w:p>
        </w:tc>
        <w:tc>
          <w:tcPr>
            <w:tcW w:type="dxa" w:w="204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FT-Failure</w:t>
            </w:r>
          </w:p>
        </w:tc>
        <w:tc>
          <w:tcPr>
            <w:tcW w:type="dxa" w:w="181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8,29%</w:t>
            </w:r>
          </w:p>
        </w:tc>
        <w:tc>
          <w:tcPr>
            <w:tcW w:type="dxa" w:w="2098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96,63%</w:t>
            </w:r>
          </w:p>
        </w:tc>
        <w:tc>
          <w:tcPr>
            <w:tcW w:type="dxa" w:w="170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0,989</w:t>
            </w:r>
          </w:p>
        </w:tc>
      </w:tr>
      <w:tr>
        <w:tc>
          <w:tcPr>
            <w:tcW w:type="dxa" w:w="11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1.024</w:t>
            </w:r>
          </w:p>
        </w:tc>
        <w:tc>
          <w:tcPr>
            <w:tcW w:type="dxa" w:w="204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FT-Híbrido</w:t>
            </w:r>
          </w:p>
        </w:tc>
        <w:tc>
          <w:tcPr>
            <w:tcW w:type="dxa" w:w="181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10,61%</w:t>
            </w:r>
          </w:p>
        </w:tc>
        <w:tc>
          <w:tcPr>
            <w:tcW w:type="dxa" w:w="2098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80,39%</w:t>
            </w:r>
          </w:p>
        </w:tc>
        <w:tc>
          <w:tcPr>
            <w:tcW w:type="dxa" w:w="170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0,928</w:t>
            </w:r>
          </w:p>
        </w:tc>
      </w:tr>
      <w:tr>
        <w:tc>
          <w:tcPr>
            <w:tcW w:type="dxa" w:w="11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4.096</w:t>
            </w:r>
          </w:p>
        </w:tc>
        <w:tc>
          <w:tcPr>
            <w:tcW w:type="dxa" w:w="204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Base</w:t>
            </w:r>
          </w:p>
        </w:tc>
        <w:tc>
          <w:tcPr>
            <w:tcW w:type="dxa" w:w="181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1,82%</w:t>
            </w:r>
          </w:p>
        </w:tc>
        <w:tc>
          <w:tcPr>
            <w:tcW w:type="dxa" w:w="2098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18,29%</w:t>
            </w:r>
          </w:p>
        </w:tc>
        <w:tc>
          <w:tcPr>
            <w:tcW w:type="dxa" w:w="170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0,408</w:t>
            </w:r>
          </w:p>
        </w:tc>
      </w:tr>
      <w:tr>
        <w:tc>
          <w:tcPr>
            <w:tcW w:type="dxa" w:w="11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4.096</w:t>
            </w:r>
          </w:p>
        </w:tc>
        <w:tc>
          <w:tcPr>
            <w:tcW w:type="dxa" w:w="204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FT-FinQA</w:t>
            </w:r>
          </w:p>
        </w:tc>
        <w:tc>
          <w:tcPr>
            <w:tcW w:type="dxa" w:w="181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15,42%</w:t>
            </w:r>
          </w:p>
        </w:tc>
        <w:tc>
          <w:tcPr>
            <w:tcW w:type="dxa" w:w="2098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11,55%</w:t>
            </w:r>
          </w:p>
        </w:tc>
        <w:tc>
          <w:tcPr>
            <w:tcW w:type="dxa" w:w="170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0,336</w:t>
            </w:r>
          </w:p>
        </w:tc>
      </w:tr>
      <w:tr>
        <w:tc>
          <w:tcPr>
            <w:tcW w:type="dxa" w:w="11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4.096</w:t>
            </w:r>
          </w:p>
        </w:tc>
        <w:tc>
          <w:tcPr>
            <w:tcW w:type="dxa" w:w="204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FT-Failure</w:t>
            </w:r>
          </w:p>
        </w:tc>
        <w:tc>
          <w:tcPr>
            <w:tcW w:type="dxa" w:w="181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2,32%</w:t>
            </w:r>
          </w:p>
        </w:tc>
        <w:tc>
          <w:tcPr>
            <w:tcW w:type="dxa" w:w="2098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21,54%</w:t>
            </w:r>
          </w:p>
        </w:tc>
        <w:tc>
          <w:tcPr>
            <w:tcW w:type="dxa" w:w="170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0,535</w:t>
            </w:r>
          </w:p>
        </w:tc>
      </w:tr>
      <w:tr>
        <w:tc>
          <w:tcPr>
            <w:tcW w:type="dxa" w:w="119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4.096</w:t>
            </w:r>
          </w:p>
        </w:tc>
        <w:tc>
          <w:tcPr>
            <w:tcW w:type="dxa" w:w="204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FT-Híbrido</w:t>
            </w:r>
          </w:p>
        </w:tc>
        <w:tc>
          <w:tcPr>
            <w:tcW w:type="dxa" w:w="181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6,47%</w:t>
            </w:r>
          </w:p>
        </w:tc>
        <w:tc>
          <w:tcPr>
            <w:tcW w:type="dxa" w:w="2098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12,03%</w:t>
            </w:r>
          </w:p>
        </w:tc>
        <w:tc>
          <w:tcPr>
            <w:tcW w:type="dxa" w:w="1701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0,449</w:t>
            </w:r>
          </w:p>
        </w:tc>
      </w:tr>
    </w:tbl>
    <w:p>
      <w:pPr>
        <w:spacing w:after="20"/>
      </w:pPr>
    </w:p>
    <w:p>
      <w:pPr>
        <w:spacing w:before="20" w:after="60"/>
        <w:ind w:firstLine="0"/>
        <w:jc w:val="left"/>
      </w:pPr>
      <w:r>
        <w:rPr>
          <w:rFonts w:ascii="Arial" w:hAnsi="Arial"/>
          <w:sz w:val="16"/>
        </w:rPr>
        <w:t>Fonte: elaboração própria. FailureSensorIQ reavaliado em 14 set. 2026 a partir das predições persistidas.</w:t>
      </w:r>
    </w:p>
    <w:p>
      <w:pPr>
        <w:spacing w:line="240" w:lineRule="auto" w:before="0" w:after="60"/>
        <w:ind w:firstLine="567"/>
        <w:jc w:val="both"/>
      </w:pPr>
      <w:r>
        <w:rPr>
          <w:rFonts w:ascii="Arial" w:hAnsi="Arial"/>
          <w:b w:val="0"/>
          <w:i w:val="0"/>
          <w:sz w:val="24"/>
        </w:rPr>
        <w:t>Na Bateria B, o FT-FinQA alcançou o melhor resultado financeiro de todo o estudo (15,42%), consistente com a redução do truncamento de entradas longas. Em contraste, FT-Failure e FT-Híbrido perderam desempenho industrial. Isso reforça que uma janela maior não beneficia uniformemente os domínios: as entradas industriais já eram curtas, e a redução da taxa de aprendizado para 5×10⁻⁵ pode ter produzido adaptação insuficiente. Como os fatores variaram juntos, essa explicação é uma hipótese, não uma relação causal demonstrada.</w:t>
      </w:r>
    </w:p>
    <w:p>
      <w:pPr>
        <w:keepNext/>
        <w:spacing w:before="60" w:after="40"/>
        <w:ind w:firstLine="0"/>
        <w:jc w:val="center"/>
      </w:pPr>
      <w:r>
        <w:rPr>
          <w:rFonts w:ascii="Arial" w:hAnsi="Arial"/>
          <w:b/>
          <w:sz w:val="18"/>
        </w:rPr>
        <w:t>Figura 1 – Desempenho por domínio e bateria experimental</w:t>
      </w:r>
    </w:p>
    <w:p>
      <w:pPr>
        <w:spacing w:after="20"/>
        <w:ind w:firstLine="0"/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652000" cy="1855454"/>
            <wp:docPr id="1" name="Picture 1" descr="Gráfico de barras comparando a acurácia dos quatro modelos no FinQA e no FailureSensorIQ nas baterias de 1.024 e 4.096 tokens." title="Gráfico de barras comparando a acurácia dos quatro modelos no FinQA e no FailureSensorIQ nas baterias de 1.024 e 4.096 toke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_desempenho_domini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855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ind w:firstLine="0"/>
        <w:jc w:val="left"/>
      </w:pPr>
      <w:r>
        <w:rPr>
          <w:rFonts w:ascii="Arial" w:hAnsi="Arial"/>
          <w:sz w:val="16"/>
        </w:rPr>
        <w:t>Fonte: elaboração própria. Acurácia FinQA é numérica; acurácia FailureSensorIQ exige correspondência exata do conjunto de rótulos.</w:t>
      </w:r>
    </w:p>
    <w:p>
      <w:pPr>
        <w:spacing w:line="240" w:lineRule="auto" w:before="0" w:after="60"/>
        <w:ind w:firstLine="567"/>
        <w:jc w:val="both"/>
      </w:pPr>
      <w:r>
        <w:rPr>
          <w:rFonts w:ascii="Arial" w:hAnsi="Arial"/>
          <w:b w:val="0"/>
          <w:i w:val="0"/>
          <w:sz w:val="24"/>
        </w:rPr>
        <w:t>A correção multirrótulo altera a interpretação anterior. A métrica antiga selecionava apenas o primeiro rótulo, subestimava modelos com falhas de parsing e superestimava previsões parcialmente corretas. Com a regra de conjunto exato, o Base sobe de 0,12% para 12,52% na Bateria A, enquanto o FT-Híbrido passa de 96,15% para 80,39%. O F1 macro mostra que o híbrido ainda reconhece bem os rótulos (0,928), embora erre combinações completas em parte dos exemplos.</w:t>
      </w:r>
    </w:p>
    <w:p>
      <w:pPr>
        <w:spacing w:line="240" w:lineRule="auto" w:before="0" w:after="60"/>
        <w:ind w:firstLine="567"/>
        <w:jc w:val="both"/>
      </w:pPr>
      <w:r>
        <w:rPr>
          <w:rFonts w:ascii="Arial" w:hAnsi="Arial"/>
          <w:b w:val="0"/>
          <w:i w:val="0"/>
          <w:sz w:val="24"/>
        </w:rPr>
        <w:t>Os erros financeiros concentram-se em extração de valores, cálculo multietapas e respostas interrompidas; os industriais, em conjuntos incompletos de alternativas e confusões semânticas. A rodada de 4.096 tokens do FT-FinQA apresentou melhor checkpoint cedo no treinamento e piora posterior da perda de validação, sinal de instabilidade. Assim, o artigo não recomenda adotar um único truncamento por favorecer o FinQA: a escolha deve considerar a distribuição de comprimentos de cada domínio e ser testada com taxa de aprendizado controlada.</w:t>
      </w:r>
    </w:p>
    <w:p>
      <w:pPr>
        <w:pStyle w:val="Ttulo1"/>
        <w:ind w:left="0" w:firstLine="0"/>
      </w:pPr>
      <w:r>
        <w:rPr>
          <w:rFonts w:ascii="Arial" w:hAnsi="Arial"/>
        </w:rPr>
        <w:t>5 CONCLUSÃO</w:t>
      </w:r>
    </w:p>
    <w:p>
      <w:pPr>
        <w:spacing w:line="240" w:lineRule="auto" w:before="0" w:after="60"/>
        <w:ind w:firstLine="567"/>
        <w:jc w:val="both"/>
      </w:pPr>
      <w:r>
        <w:rPr>
          <w:rFonts w:ascii="Arial" w:hAnsi="Arial"/>
          <w:b w:val="0"/>
          <w:i w:val="0"/>
          <w:sz w:val="24"/>
        </w:rPr>
        <w:t>O fine-tuning eficiente especializou o Qwen2.5-7B-Instruct nos dois domínios, mas os resultados dependem da configuração experimental. A Bateria A oferece a comparação mais limpa: o FT-Híbrido apresenta o melhor equilíbrio geral, enquanto o FT-Failure domina o diagnóstico industrial. A Bateria B elevou o desempenho do especialista financeiro, porém não sustenta a conclusão de que 4.096 tokens sejam universalmente superiores, pois outros hiperparâmetros também mudaram.</w:t>
      </w:r>
    </w:p>
    <w:p>
      <w:pPr>
        <w:spacing w:line="240" w:lineRule="auto" w:before="0" w:after="60"/>
        <w:ind w:firstLine="567"/>
        <w:jc w:val="both"/>
      </w:pPr>
      <w:r>
        <w:rPr>
          <w:rFonts w:ascii="Arial" w:hAnsi="Arial"/>
          <w:b w:val="0"/>
          <w:i w:val="0"/>
          <w:sz w:val="24"/>
        </w:rPr>
        <w:t>As limitações incluem uma única semente, dois benchmarks, protocolo de resposta curta, instabilidade do FT-FinQA de 4.096 tokens e ausência de avaliação integrada documentada. Trabalhos futuros devem executar uma ablação controlada de contexto e taxa de aprendizado, testar truncamento ou agrupamento por domínio, repetir o treinamento com múltiplas sementes e criar cenários que liguem falhas, produção, custos e impacto financeiro. Somente após essa etapa será possível avaliar diretamente a capacidade multidomínio pretendida.</w:t>
      </w:r>
    </w:p>
    <w:p>
      <w:pPr>
        <w:pStyle w:val="Ttulo1"/>
        <w:ind w:left="0" w:firstLine="0"/>
      </w:pPr>
      <w:r>
        <w:rPr>
          <w:rFonts w:ascii="Arial" w:hAnsi="Arial"/>
        </w:rPr>
        <w:t>REFERÊNCIAS</w:t>
      </w:r>
    </w:p>
    <w:p>
      <w:pPr>
        <w:spacing w:line="240" w:lineRule="auto" w:before="0" w:after="40"/>
        <w:ind w:firstLine="0"/>
        <w:jc w:val="left"/>
      </w:pPr>
      <w:r>
        <w:rPr>
          <w:rFonts w:ascii="Arial" w:hAnsi="Arial"/>
          <w:b w:val="0"/>
          <w:i w:val="0"/>
          <w:sz w:val="17"/>
        </w:rPr>
        <w:t>CHEN, Z. et al. FinQA: A dataset of numerical reasoning over financial data. In: PROCEEDINGS OF EMNLP. Association for Computational Linguistics, 2021.</w:t>
      </w:r>
    </w:p>
    <w:p>
      <w:pPr>
        <w:spacing w:line="240" w:lineRule="auto" w:before="0" w:after="40"/>
        <w:ind w:firstLine="0"/>
        <w:jc w:val="left"/>
      </w:pPr>
      <w:r>
        <w:rPr>
          <w:rFonts w:ascii="Arial" w:hAnsi="Arial"/>
          <w:b w:val="0"/>
          <w:i w:val="0"/>
          <w:sz w:val="17"/>
        </w:rPr>
        <w:t>DETTMERS, T. et al. QLoRA: Efficient finetuning of quantized LLMs. 2023.</w:t>
      </w:r>
    </w:p>
    <w:p>
      <w:pPr>
        <w:spacing w:line="240" w:lineRule="auto" w:before="0" w:after="40"/>
        <w:ind w:firstLine="0"/>
        <w:jc w:val="left"/>
      </w:pPr>
      <w:r>
        <w:rPr>
          <w:rFonts w:ascii="Arial" w:hAnsi="Arial"/>
          <w:b w:val="0"/>
          <w:i w:val="0"/>
          <w:sz w:val="17"/>
        </w:rPr>
        <w:t>HU, E. J. et al. LoRA: Low-Rank Adaptation of Large Language Models. 2021.</w:t>
      </w:r>
    </w:p>
    <w:p>
      <w:pPr>
        <w:spacing w:line="240" w:lineRule="auto" w:before="0" w:after="40"/>
        <w:ind w:firstLine="0"/>
        <w:jc w:val="left"/>
      </w:pPr>
      <w:r>
        <w:rPr>
          <w:rFonts w:ascii="Arial" w:hAnsi="Arial"/>
          <w:b w:val="0"/>
          <w:i w:val="0"/>
          <w:sz w:val="17"/>
        </w:rPr>
        <w:t>JARDINE, A. K. S.; LIN, D.; BANJEVIC, D. A review on machinery diagnostics and prognostics implementing condition-based maintenance. Mechanical Systems and Signal Processing, v. 20, n. 7, p. 1483–1510, 2006.</w:t>
      </w:r>
    </w:p>
    <w:p>
      <w:pPr>
        <w:spacing w:line="240" w:lineRule="auto" w:before="0" w:after="40"/>
        <w:ind w:firstLine="0"/>
        <w:jc w:val="left"/>
      </w:pPr>
      <w:r>
        <w:rPr>
          <w:rFonts w:ascii="Arial" w:hAnsi="Arial"/>
          <w:b w:val="0"/>
          <w:i w:val="0"/>
          <w:sz w:val="17"/>
        </w:rPr>
        <w:t>YANG, A. et al. Qwen2.5 technical report. arXiv:2412.15115, 2024.</w:t>
      </w:r>
    </w:p>
    <w:p>
      <w:pPr>
        <w:pStyle w:val="Ttulo1"/>
        <w:ind w:left="0" w:firstLine="0"/>
      </w:pPr>
      <w:r>
        <w:rPr>
          <w:rFonts w:ascii="Arial" w:hAnsi="Arial"/>
        </w:rPr>
        <w:t>SOBRE O(S) AUTOR(ES)</w:t>
      </w:r>
    </w:p>
    <w:p>
      <w:pPr>
        <w:spacing w:line="240" w:lineRule="auto" w:before="0" w:after="20"/>
        <w:ind w:firstLine="0"/>
        <w:jc w:val="left"/>
      </w:pPr>
      <w:r>
        <w:rPr>
          <w:rFonts w:ascii="Arial" w:hAnsi="Arial"/>
          <w:b/>
          <w:i w:val="0"/>
          <w:sz w:val="18"/>
        </w:rPr>
        <w:t>i JÉSSICA FRANZON CRUZ DO ESPÍRITO SANTO</w:t>
      </w:r>
    </w:p>
    <w:p>
      <w:pPr>
        <w:spacing w:line="240" w:lineRule="auto" w:before="0" w:after="80"/>
        <w:ind w:firstLine="0"/>
        <w:jc w:val="both"/>
      </w:pPr>
      <w:r>
        <w:rPr>
          <w:rFonts w:ascii="Arial" w:hAnsi="Arial"/>
          <w:b w:val="0"/>
          <w:i w:val="0"/>
          <w:sz w:val="17"/>
        </w:rPr>
        <w:t>Graduação em Ciência da Computação (UNIP, 2018–2021); pós-graduada em Gestão Educacional na Perspectiva Inclusiva (UFPEL, 2022) e em Psicopedagogia (FAM, 2024); mestranda em Engenharia da Informação (UFABC). Docente no Centro Universitário SENAI-SP, Campus São Caetano do Sul – Centro, no curso de Ciência de Dados. ORCID: 0000-0002-2812-3673.</w:t>
      </w:r>
    </w:p>
    <w:p>
      <w:pPr>
        <w:spacing w:line="240" w:lineRule="auto" w:before="0" w:after="20"/>
        <w:ind w:firstLine="0"/>
        <w:jc w:val="left"/>
      </w:pPr>
      <w:r>
        <w:rPr>
          <w:rFonts w:ascii="Arial" w:hAnsi="Arial"/>
          <w:b/>
          <w:i w:val="0"/>
          <w:sz w:val="18"/>
        </w:rPr>
        <w:t>ii NICOLI FELIPE</w:t>
      </w:r>
    </w:p>
    <w:p>
      <w:pPr>
        <w:spacing w:line="240" w:lineRule="auto" w:before="0" w:after="80"/>
        <w:ind w:firstLine="0"/>
        <w:jc w:val="both"/>
      </w:pPr>
      <w:r>
        <w:rPr>
          <w:rFonts w:ascii="Arial" w:hAnsi="Arial"/>
          <w:b w:val="0"/>
          <w:i w:val="0"/>
          <w:sz w:val="17"/>
        </w:rPr>
        <w:t>Graduanda em Ciência de Dados (2025–2026) pelo Centro Universitário SENAI-SP, Campus São Caetano do Sul – Centro. ORCID não informado.</w:t>
      </w:r>
    </w:p>
    <w:p>
      <w:pPr>
        <w:spacing w:line="240" w:lineRule="auto" w:before="0" w:after="20"/>
        <w:ind w:firstLine="0"/>
        <w:jc w:val="left"/>
      </w:pPr>
      <w:r>
        <w:rPr>
          <w:rFonts w:ascii="Arial" w:hAnsi="Arial"/>
          <w:b/>
          <w:i w:val="0"/>
          <w:sz w:val="18"/>
        </w:rPr>
        <w:t>iii VINICIUS DE JESUS SILVA</w:t>
      </w:r>
    </w:p>
    <w:p>
      <w:pPr>
        <w:spacing w:line="240" w:lineRule="auto" w:before="0" w:after="80"/>
        <w:ind w:firstLine="0"/>
        <w:jc w:val="both"/>
      </w:pPr>
      <w:r>
        <w:rPr>
          <w:rFonts w:ascii="Arial" w:hAnsi="Arial"/>
          <w:b w:val="0"/>
          <w:i w:val="0"/>
          <w:sz w:val="17"/>
        </w:rPr>
        <w:t>Graduado em Ciência de Dados (2024–2025) pelo Centro Universitário SENAI-SP, Campus São Caetano do Sul – Centro. ORCID: 0009-0002-8151-9439.</w:t>
      </w:r>
    </w:p>
    <w:sectPr w:rsidR="0046777C" w:rsidRPr="00FF5642" w:rsidSect="00A223E8">
      <w:headerReference w:type="default" r:id="rId7"/>
      <w:footerReference w:type="default" r:id="rId8"/>
      <w:type w:val="continuous"/>
      <w:pgSz w:w="11910" w:h="16840"/>
      <w:pgMar w:top="1134" w:right="1304" w:bottom="1587" w:left="1304" w:header="720" w:footer="9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C8FE59" w14:textId="77777777" w:rsidR="00685CA3" w:rsidRDefault="00685CA3" w:rsidP="0060353C">
      <w:r>
        <w:separator/>
      </w:r>
    </w:p>
  </w:endnote>
  <w:endnote w:type="continuationSeparator" w:id="0">
    <w:p w14:paraId="4FC9FF1F" w14:textId="77777777" w:rsidR="00685CA3" w:rsidRDefault="00685CA3" w:rsidP="00603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chivo-SemiBold">
    <w:altName w:val="Cambria"/>
    <w:charset w:val="4D"/>
    <w:family w:val="auto"/>
    <w:pitch w:val="variable"/>
    <w:sig w:usb0="A00000FF" w:usb1="500020EB" w:usb2="00000008" w:usb3="00000000" w:csb0="00000193" w:csb1="00000000"/>
    <w:embedRegular r:id="rId1" w:fontKey="{0129EC40-B6E8-43CC-ABB2-3F3E143B0DB9}"/>
    <w:embedBold r:id="rId2" w:fontKey="{0F34120E-1EC9-419C-97AD-7DC0F1419582}"/>
    <w:embedItalic r:id="rId3" w:fontKey="{462CAAEA-72A8-4872-B466-28BD05B3F5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BCA7BB0A-0D2D-461B-8BAE-53AA2A1DB9AC}"/>
    <w:embedBold r:id="rId5" w:fontKey="{260E86E1-8394-4549-99EE-C9BC8D2658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BBDF573-F60B-4383-AA70-671176995D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F1E81A" w14:textId="5B0D20EF" w:rsidR="0060353C" w:rsidRDefault="00D8782F">
    <w:pPr>
      <w:pStyle w:val="Rodap"/>
    </w:pPr>
    <w:r>
      <w:rPr>
        <w:noProof/>
        <w:lang w:val="pt-BR" w:eastAsia="pt-BR"/>
      </w:rPr>
      <w:drawing>
        <wp:anchor distT="0" distB="0" distL="114300" distR="114300" simplePos="0" relativeHeight="251658240" behindDoc="0" locked="0" layoutInCell="1" allowOverlap="1" wp14:anchorId="14FE170B" wp14:editId="0FA069AA">
          <wp:simplePos x="0" y="0"/>
          <wp:positionH relativeFrom="margin">
            <wp:align>right</wp:align>
          </wp:positionH>
          <wp:positionV relativeFrom="paragraph">
            <wp:posOffset>-121285</wp:posOffset>
          </wp:positionV>
          <wp:extent cx="830580" cy="388620"/>
          <wp:effectExtent l="0" t="0" r="7620" b="0"/>
          <wp:wrapThrough wrapText="bothSides">
            <wp:wrapPolygon edited="0">
              <wp:start x="0" y="0"/>
              <wp:lineTo x="0" y="20118"/>
              <wp:lineTo x="21303" y="20118"/>
              <wp:lineTo x="21303" y="0"/>
              <wp:lineTo x="0" y="0"/>
            </wp:wrapPolygon>
          </wp:wrapThrough>
          <wp:docPr id="9" name="Imagem 9" descr="Logotipo do SENAI." title="Logotipo do SENAI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7941" b="4969"/>
                  <a:stretch/>
                </pic:blipFill>
                <pic:spPr bwMode="auto">
                  <a:xfrm>
                    <a:off x="0" y="0"/>
                    <a:ext cx="830580" cy="3886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23E8"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CF83D4E" wp14:editId="21B56172">
              <wp:simplePos x="0" y="0"/>
              <wp:positionH relativeFrom="page">
                <wp:posOffset>0</wp:posOffset>
              </wp:positionH>
              <wp:positionV relativeFrom="bottomMargin">
                <wp:posOffset>104775</wp:posOffset>
              </wp:positionV>
              <wp:extent cx="2647950" cy="819150"/>
              <wp:effectExtent l="0" t="0" r="0" b="0"/>
              <wp:wrapNone/>
              <wp:docPr id="3" name="Forma Livre 3" descr="Elemento gráfico decorativo cinza do template." title="Elemento gráfico decorativo cinza do template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2647950" cy="819150"/>
                      </a:xfrm>
                      <a:custGeom>
                        <a:avLst/>
                        <a:gdLst>
                          <a:gd name="T0" fmla="*/ 2147483646 w 4252"/>
                          <a:gd name="T1" fmla="*/ 2147483646 h 1418"/>
                          <a:gd name="T2" fmla="*/ 0 w 4252"/>
                          <a:gd name="T3" fmla="*/ 2147483646 h 1418"/>
                          <a:gd name="T4" fmla="*/ 0 w 4252"/>
                          <a:gd name="T5" fmla="*/ 2147483646 h 1418"/>
                          <a:gd name="T6" fmla="*/ 2147483646 w 4252"/>
                          <a:gd name="T7" fmla="*/ 2147483646 h 1418"/>
                          <a:gd name="T8" fmla="*/ 2147483646 w 4252"/>
                          <a:gd name="T9" fmla="*/ 2147483646 h 1418"/>
                          <a:gd name="T10" fmla="*/ 0 60000 65536"/>
                          <a:gd name="T11" fmla="*/ 0 60000 65536"/>
                          <a:gd name="T12" fmla="*/ 0 60000 65536"/>
                          <a:gd name="T13" fmla="*/ 0 60000 65536"/>
                          <a:gd name="T14" fmla="*/ 0 60000 65536"/>
                        </a:gdLst>
                        <a:ahLst/>
                        <a:cxnLst>
                          <a:cxn ang="T10">
                            <a:pos x="T0" y="T1"/>
                          </a:cxn>
                          <a:cxn ang="T11">
                            <a:pos x="T2" y="T3"/>
                          </a:cxn>
                          <a:cxn ang="T12">
                            <a:pos x="T4" y="T5"/>
                          </a:cxn>
                          <a:cxn ang="T13">
                            <a:pos x="T6" y="T7"/>
                          </a:cxn>
                          <a:cxn ang="T14">
                            <a:pos x="T8" y="T9"/>
                          </a:cxn>
                        </a:cxnLst>
                        <a:rect l="0" t="0" r="r" b="b"/>
                        <a:pathLst>
                          <a:path w="4252" h="1418">
                            <a:moveTo>
                              <a:pt x="3434" y="0"/>
                            </a:moveTo>
                            <a:lnTo>
                              <a:pt x="0" y="0"/>
                            </a:lnTo>
                            <a:lnTo>
                              <a:pt x="0" y="1418"/>
                            </a:lnTo>
                            <a:lnTo>
                              <a:pt x="4252" y="1418"/>
                            </a:lnTo>
                            <a:lnTo>
                              <a:pt x="3434" y="0"/>
                            </a:lnTo>
                            <a:close/>
                          </a:path>
                        </a:pathLst>
                      </a:custGeom>
                      <a:solidFill>
                        <a:srgbClr val="EBEBE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5F328" id="Forma Livre 3" o:spid="_x0000_s1026" style="position:absolute;margin-left:0;margin-top:8.25pt;width:208.5pt;height:64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coordsize="4252,1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6kplgMAAJgJAAAOAAAAZHJzL2Uyb0RvYy54bWysVutu2zYU/l9g70Dw5wBHF1OyZUQplqYu&#10;CmRbgXoPQEuUJUwiVZK2nBZ79x2Skis5SjYUtQGJ1Pn48dx4Dm/fnpsanZhUleApDm58jBjPRF7x&#10;Q4r/2m0Xa4yUpjynteAsxU9M4bd3v7y57doNC0Up6pxJBCRcbbo2xaXW7cbzVFayhqob0TIOwkLI&#10;hmqYyoOXS9oBe1N7oe/HXidk3kqRMaXg64MT4jvLXxQs038WhWIa1SkG3bR9Svvcm6d3d0s3B0nb&#10;ssp6NegPaNHQisOmF6oHqik6yuoZVVNlUihR6JtMNJ4oiipj1gawJvCvrPlc0pZZW8A5qr24Sf08&#10;2uyP0yeJqjzFS4w4bSBEW+Ns9FidJENL46CuVRvAfW4/SWOiah9F9rcCgTeRmIkCDNp3v4sciOhR&#10;C+uUcyEbsxLMRWfr+6eL79lZoww+hjFZJRGEKAPZOkgCGJst6GZYnR2V/sCEZaKnR6Vd7HIYWc/n&#10;vf47ICmaGsL4q4fCgKzIehmTGHWIhFHYR/wCDubBJQpIsL4GhyOw/wIh+HFu93lCMgK/RBiNMCNz&#10;5gnjefC87at58DwzHOQ5u+aZk3nwPHMwDpiPYh9+KI6iZXzt/2AcrdeR01C9xjkO2Ouc02hdcUKm&#10;HoZcpOWQntmZ9/kJI0RNVdyBvSZhW6HMaTDpCim/C/p0B5yRjuDBBA6GGbg9mbDnc3g4gYPOBh69&#10;yL6cwCF/DHz1IpxM4JAUBp6M4U6p3moJFfi69kqMoPbuzRrwAtXGWcMQdSm2xxSV0E7METSSRpzY&#10;TliMNj5bkqWza6gR3wE1HwOdbwfUIBverSVzmOG4g/aDeHg7mNMKrP1P5DPtBqKsFoq5ombMttXt&#10;Yr9x26jCKVFX+baqa2O1kof9u1qiE4U29v7e/HuPT2C1zRwuzDK3jfsCNbZ3sam2ti19S4KQ+Pdh&#10;stjG69WCbEm0SFb+euEHyX0S+yQhD9t/jPMDsimrPGf8seJsaJEB+X8tqG/WrrnZJmkCnERhZOM6&#10;0X5ipKkB/hC3CUyKI89t6pSM5u/7saZV7cbeVGPrZDB7eFtH2MZlepVrbnuRP0HfksJdD+A6A4NS&#10;yK8YdXA1SLH6cqSSYVR/5NB7k4AQSBptJyRahTCRY8l+LKE8A6oUawzH3wzfaXf/OLayOpSwkzvf&#10;XPwG/bKoTFuz+jmt+gm0f2tBf1Ux94vx3KK+X6ju/gUAAP//AwBQSwMEFAAGAAgAAAAhAHQuKqDe&#10;AAAABwEAAA8AAABkcnMvZG93bnJldi54bWxMj8FKw0AQhu+C77CM4M1uKk0sMZtSRCFYFI1WPG6y&#10;YxKanQ3ZTRvf3vGkx/n+4Z9vss1se3HE0XeOFCwXEQik2pmOGgXvbw9XaxA+aDK6d4QKvtHDJj8/&#10;y3Rq3Ile8ViGRnAJ+VQraEMYUil93aLVfuEGJM6+3Gh14HFspBn1icttL6+jKJFWd8QXWj3gXYv1&#10;oZysgmK33+2fiufq/mNaH3yZFC+P20+lLi/m7S2IgHP4W4ZffVaHnJ0qN5HxolfAjwSmSQyC09Xy&#10;hkHFYBXHIPNM/vfPfwAAAP//AwBQSwECLQAUAAYACAAAACEAtoM4kv4AAADhAQAAEwAAAAAAAAAA&#10;AAAAAAAAAAAAW0NvbnRlbnRfVHlwZXNdLnhtbFBLAQItABQABgAIAAAAIQA4/SH/1gAAAJQBAAAL&#10;AAAAAAAAAAAAAAAAAC8BAABfcmVscy8ucmVsc1BLAQItABQABgAIAAAAIQDsQ6kplgMAAJgJAAAO&#10;AAAAAAAAAAAAAAAAAC4CAABkcnMvZTJvRG9jLnhtbFBLAQItABQABgAIAAAAIQB0Liqg3gAAAAcB&#10;AAAPAAAAAAAAAAAAAAAAAPAFAABkcnMvZG93bnJldi54bWxQSwUGAAAAAAQABADzAAAA+wYAAAAA&#10;" path="m3434,l,,,1418r4252,l3434,xe" fillcolor="#ebebeb" stroked="f">
              <v:path arrowok="t" o:connecttype="custom" o:connectlocs="2147483646,2147483646;0,2147483646;0,2147483646;2147483646,2147483646;2147483646,2147483646" o:connectangles="0,0,0,0,0"/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DA4514" w14:textId="77777777" w:rsidR="00685CA3" w:rsidRDefault="00685CA3" w:rsidP="0060353C">
      <w:r>
        <w:separator/>
      </w:r>
    </w:p>
  </w:footnote>
  <w:footnote w:type="continuationSeparator" w:id="0">
    <w:p w14:paraId="2E604D43" w14:textId="77777777" w:rsidR="00685CA3" w:rsidRDefault="00685CA3" w:rsidP="0060353C">
      <w:r>
        <w:continuationSeparator/>
      </w:r>
    </w:p>
  </w:footnote>
  <w:footnote w:id="1">
    <w:p w14:paraId="522C6374" w14:textId="77777777" w:rsidR="005844E8" w:rsidRPr="00930B86" w:rsidRDefault="005844E8" w:rsidP="005844E8">
      <w:pPr>
        <w:pStyle w:val="Textodenotaderodap"/>
        <w:rPr>
          <w:rFonts w:asciiTheme="minorHAnsi" w:hAnsiTheme="minorHAnsi" w:cs="Arial"/>
        </w:rPr>
      </w:pPr>
      <w:r w:rsidRPr="00B81FF5">
        <w:rPr>
          <w:rStyle w:val="Refdenotaderodap"/>
          <w:rFonts w:cs="Arial"/>
        </w:rPr>
        <w:footnoteRef/>
      </w:r>
      <w:r w:rsidRPr="00B81FF5">
        <w:rPr>
          <w:rFonts w:cs="Arial"/>
        </w:rPr>
        <w:t xml:space="preserve"> </w:t>
      </w:r>
      <w:r w:rsidRPr="00930B86">
        <w:rPr>
          <w:rFonts w:asciiTheme="minorHAnsi" w:hAnsiTheme="minorHAnsi" w:cs="Arial"/>
        </w:rPr>
        <w:t>Vinculação do autor e endereço eletrônico. Exemplo: Pós-graduando em Indústria 4.0 na Faculdade SENAI de Tecnologia Mecatrônica. E-mail: souza@gmail.com</w:t>
      </w:r>
    </w:p>
  </w:footnote>
  <w:footnote w:id="2">
    <w:p w14:paraId="0BF0281E" w14:textId="77777777" w:rsidR="005844E8" w:rsidRPr="00930B86" w:rsidRDefault="005844E8" w:rsidP="005844E8">
      <w:pPr>
        <w:pStyle w:val="Textodenotaderodap"/>
        <w:rPr>
          <w:rFonts w:asciiTheme="minorHAnsi" w:hAnsiTheme="minorHAnsi" w:cs="Arial"/>
        </w:rPr>
      </w:pPr>
      <w:r w:rsidRPr="00930B86">
        <w:rPr>
          <w:rStyle w:val="Refdenotaderodap"/>
          <w:rFonts w:asciiTheme="minorHAnsi" w:hAnsiTheme="minorHAnsi" w:cs="Arial"/>
        </w:rPr>
        <w:footnoteRef/>
      </w:r>
      <w:r w:rsidRPr="00930B86">
        <w:rPr>
          <w:rFonts w:asciiTheme="minorHAnsi" w:hAnsiTheme="minorHAnsi" w:cs="Arial"/>
        </w:rPr>
        <w:t xml:space="preserve"> Vinculação </w:t>
      </w:r>
      <w:r>
        <w:rPr>
          <w:rFonts w:asciiTheme="minorHAnsi" w:hAnsiTheme="minorHAnsi" w:cs="Arial"/>
        </w:rPr>
        <w:t>os autores</w:t>
      </w:r>
      <w:r w:rsidRPr="00930B86">
        <w:rPr>
          <w:rFonts w:asciiTheme="minorHAnsi" w:hAnsiTheme="minorHAnsi" w:cs="Arial"/>
        </w:rPr>
        <w:t xml:space="preserve"> e endereço eletrônico. Exemplo: Docente e Dr. em Engenharia Mecânica da Faculdade SENAI de Tecnologia Mecatrônica. E-mail: souza@sp.senai.br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53109726"/>
      <w:docPartObj>
        <w:docPartGallery w:val="Page Numbers (Top of Page)"/>
        <w:docPartUnique/>
      </w:docPartObj>
    </w:sdtPr>
    <w:sdtEndPr/>
    <w:sdtContent>
      <w:p w14:paraId="62850BFA" w14:textId="2E689E0E" w:rsidR="0046777C" w:rsidRDefault="0046777C">
        <w:pPr>
          <w:pStyle w:val="Cabealho"/>
          <w:jc w:val="right"/>
        </w:pPr>
        <w:r w:rsidRPr="0046777C">
          <w:rPr>
            <w:rFonts w:asciiTheme="minorHAnsi" w:eastAsia="Arial" w:hAnsiTheme="minorHAnsi" w:cs="Arial"/>
            <w:noProof/>
            <w:sz w:val="24"/>
            <w:szCs w:val="24"/>
            <w:lang w:val="pt-BR" w:eastAsia="pt-BR"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268D1078" wp14:editId="3A160FDA">
                  <wp:simplePos x="0" y="0"/>
                  <wp:positionH relativeFrom="page">
                    <wp:posOffset>6128385</wp:posOffset>
                  </wp:positionH>
                  <wp:positionV relativeFrom="page">
                    <wp:align>top</wp:align>
                  </wp:positionV>
                  <wp:extent cx="1430655" cy="900430"/>
                  <wp:effectExtent l="0" t="0" r="0" b="0"/>
                  <wp:wrapNone/>
                  <wp:docPr id="75" name="docshape2" descr="Elemento gráfico decorativo vermelho com a numeração da página." title="Elemento gráfico decorativo vermelho com a numeração da página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30655" cy="900430"/>
                          </a:xfrm>
                          <a:custGeom>
                            <a:avLst/>
                            <a:gdLst>
                              <a:gd name="T0" fmla="*/ 2147483646 w 2253"/>
                              <a:gd name="T1" fmla="*/ 0 h 1418"/>
                              <a:gd name="T2" fmla="*/ 0 w 2253"/>
                              <a:gd name="T3" fmla="*/ 0 h 1418"/>
                              <a:gd name="T4" fmla="*/ 2147483646 w 2253"/>
                              <a:gd name="T5" fmla="*/ 2147483646 h 1418"/>
                              <a:gd name="T6" fmla="*/ 2147483646 w 2253"/>
                              <a:gd name="T7" fmla="*/ 2147483646 h 1418"/>
                              <a:gd name="T8" fmla="*/ 2147483646 w 2253"/>
                              <a:gd name="T9" fmla="*/ 0 h 1418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53" h="1418">
                                <a:moveTo>
                                  <a:pt x="2252" y="0"/>
                                </a:moveTo>
                                <a:lnTo>
                                  <a:pt x="0" y="0"/>
                                </a:lnTo>
                                <a:lnTo>
                                  <a:pt x="818" y="1417"/>
                                </a:lnTo>
                                <a:lnTo>
                                  <a:pt x="2252" y="1417"/>
                                </a:lnTo>
                                <a:lnTo>
                                  <a:pt x="2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13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<w:pict>
                <v:shape w14:anchorId="5963AB61" id="docshape2" o:spid="_x0000_s1026" style="position:absolute;margin-left:482.55pt;margin-top:0;width:112.65pt;height:70.9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page;mso-height-relative:page;v-text-anchor:top" coordsize="2253,1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cDQkQMAAIUJAAAOAAAAZHJzL2Uyb0RvYy54bWysVm2PozYQ/l6p/8Hyx0pZMHFIiJY99W4v&#10;VaVte9KlP8AxJqCCTW0nZK/qf+/YQA6y7PZUlQ9gMw/z8sww4/t3l7pCZ6FNqWSKyV2IkZBcZaU8&#10;pvj3/W6xwchYJjNWKSlS/CwMfvfw/Xf3bbMVkSpUlQmNQIk027ZJcWFtsw0CwwtRM3OnGiFBmCtd&#10;MwtbfQwyzVrQXldBFIZx0CqdNVpxYQy8feyE+MHrz3PB7W95boRFVYrBN+vv2t8P7h483LPtUbOm&#10;KHnvBvsPXtSslGD0quqRWYZOunyhqi65Vkbl9o6rOlB5XnLhY4BoSHgTzeeCNcLHAuSY5kqT+f/U&#10;8l/PnzQqsxSvVxhJVkOOMsWNsxw5dtrGbAH0ufmkXXymeVL8DwOCYCJxGwMYdGh/URkoYSerPCOX&#10;XNfuS4gVXTzxz1fixcUiDi8JXYbxChzgIEvCELbOdsC2w9f8ZOxPQnlN7PxkbJe4DFae9qz3fQ9J&#10;zusKcvhDgCJC13SzjGmMWhRFq2Wf7iuYjMAhKhChZHOLiSaYeT3LCWZeDx1h/tUxoGIuinnN8Tx4&#10;3tX1PHheM/y8c27Ma05G4NfIJOP0hCgO4UKQ+WV8SzuZ5uYt5DRDbyGneXoLOc7WCz+hLo9D5bFi&#10;KEZ+kX01wgox1wD3EK8rz0YZV/uuOKHA96QvbsA56QhOJnAIzMF92YLNl/BoAgefHXz1qvblBA5l&#10;4+DrV+F0AodacPBkDO+c6qPW0Gxv26zGCNrswX0DLDDryBqWqE2x/ylR4ToA/HlOUquz2CuPsY4z&#10;QHQ0DB3hK6CSY2DH7YAaZMOz8co2YMRFAdaGsAfA8OyAV6vfjry1zCtlRNfEXOC+m10ZcMSNOppR&#10;VZntyqpycRt9PHyoNDozmFm7hCzJx57zCazytSOV+6wz072BntqT7Lqrn0F/JSSi4fsoWezizXpB&#10;d3S1SNbhZhGS5H0ShzShj7u/Hf2Ebosyy4R8KqUY5iGh3zZv+sncTTI/EV2Kk1W08pmdeD8J0nWB&#10;cOBvAtPqJDNfPIVg2cd+bVlZdetg6rEnGcIenp4IP6jcbOqG2UFlzzCntOrOAnB2gUWh9BeMWjgH&#10;pNj8eWJaYFT9LGHQJoRSKC3rN3S1jmCjx5LDWMIkB1UpthgagFt+sN1h49To8liApe4Pl+pHmI95&#10;6caY96/zqt/ArPcR9OcSd5gY7z3q6+np4R8AAAD//wMAUEsDBBQABgAIAAAAIQA7nvrb3QAAAAkB&#10;AAAPAAAAZHJzL2Rvd25yZXYueG1sTI/NTsMwEITvSLyDtUjcqGNU2jTEqSoQvXGg7QM48ZIE/BNi&#10;1wlvz/ZEbzua0ew35Xa2hiUcQ++dBLHIgKFrvO5dK+F0fHvIgYWonFbGO5TwiwG21e1NqQrtJ/eB&#10;6RBbRiUuFEpCF+NQcB6aDq0KCz+gI+/Tj1ZFkmPL9agmKreGP2bZilvVO/rQqQFfOmy+D2cr4fjq&#10;7T6vwzyl9LVP6593sTNayvu7efcMLOIc/8NwwSd0qIip9menAzMSNqsnQVEJtOhii022BFbTtRQ5&#10;8Krk1wuqPwAAAP//AwBQSwECLQAUAAYACAAAACEAtoM4kv4AAADhAQAAEwAAAAAAAAAAAAAAAAAA&#10;AAAAW0NvbnRlbnRfVHlwZXNdLnhtbFBLAQItABQABgAIAAAAIQA4/SH/1gAAAJQBAAALAAAAAAAA&#10;AAAAAAAAAC8BAABfcmVscy8ucmVsc1BLAQItABQABgAIAAAAIQCJvcDQkQMAAIUJAAAOAAAAAAAA&#10;AAAAAAAAAC4CAABkcnMvZTJvRG9jLnhtbFBLAQItABQABgAIAAAAIQA7nvrb3QAAAAkBAAAPAAAA&#10;AAAAAAAAAAAAAOsFAABkcnMvZG93bnJldi54bWxQSwUGAAAAAAQABADzAAAA9QYAAAAA&#10;" path="m2252,l,,818,1417r1434,l2252,xe" fillcolor="#f9131e" stroked="f">
                  <v:path arrowok="t" o:connecttype="custom" o:connectlocs="2147483646,0;0,0;2147483646,2147483646;2147483646,2147483646;2147483646,0" o:connectangles="0,0,0,0,0"/>
                  <w10:wrap anchorx="page" anchory="page"/>
                </v:shape>
              </w:pict>
            </mc:Fallback>
          </mc:AlternateContent>
        </w:r>
        <w:r w:rsidRPr="0046777C">
          <w:rPr>
            <w:rFonts w:asciiTheme="minorHAnsi" w:hAnsiTheme="minorHAnsi"/>
          </w:rPr>
          <w:fldChar w:fldCharType="begin"/>
        </w:r>
        <w:r w:rsidRPr="0046777C">
          <w:rPr>
            <w:rFonts w:asciiTheme="minorHAnsi" w:hAnsiTheme="minorHAnsi"/>
          </w:rPr>
          <w:instrText>PAGE   \* MERGEFORMAT</w:instrText>
        </w:r>
        <w:r w:rsidRPr="0046777C">
          <w:rPr>
            <w:rFonts w:asciiTheme="minorHAnsi" w:hAnsiTheme="minorHAnsi"/>
          </w:rPr>
          <w:fldChar w:fldCharType="separate"/>
        </w:r>
        <w:r w:rsidR="006E75E2" w:rsidRPr="006E75E2">
          <w:rPr>
            <w:rFonts w:asciiTheme="minorHAnsi" w:hAnsiTheme="minorHAnsi"/>
            <w:noProof/>
            <w:lang w:val="pt-BR"/>
          </w:rPr>
          <w:t>2</w:t>
        </w:r>
        <w:r w:rsidRPr="0046777C">
          <w:rPr>
            <w:rFonts w:asciiTheme="minorHAnsi" w:hAnsiTheme="minorHAnsi"/>
          </w:rPr>
          <w:fldChar w:fldCharType="end"/>
        </w:r>
      </w:p>
    </w:sdtContent>
  </w:sdt>
  <w:p w14:paraId="4E10DDA6" w14:textId="7049F6FE" w:rsidR="0046777C" w:rsidRDefault="004677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767CD"/>
    <w:multiLevelType w:val="multilevel"/>
    <w:tmpl w:val="04CEBF72"/>
    <w:lvl w:ilvl="0">
      <w:start w:val="2"/>
      <w:numFmt w:val="decimal"/>
      <w:lvlText w:val="%1."/>
      <w:lvlJc w:val="left"/>
      <w:pPr>
        <w:ind w:left="447" w:hanging="331"/>
      </w:pPr>
      <w:rPr>
        <w:rFonts w:ascii="Archivo-SemiBold" w:eastAsia="Archivo-SemiBold" w:hAnsi="Archivo-SemiBold" w:cs="Archivo-SemiBold" w:hint="default"/>
        <w:b/>
        <w:bCs/>
        <w:i w:val="0"/>
        <w:iCs w:val="0"/>
        <w:color w:val="F9131E"/>
        <w:w w:val="118"/>
        <w:sz w:val="28"/>
        <w:szCs w:val="28"/>
      </w:rPr>
    </w:lvl>
    <w:lvl w:ilvl="1">
      <w:start w:val="1"/>
      <w:numFmt w:val="decimal"/>
      <w:lvlText w:val="%1.%2."/>
      <w:lvlJc w:val="left"/>
      <w:pPr>
        <w:ind w:left="559" w:hanging="442"/>
      </w:pPr>
      <w:rPr>
        <w:rFonts w:ascii="Archivo-SemiBold" w:eastAsia="Archivo-SemiBold" w:hAnsi="Archivo-SemiBold" w:cs="Archivo-SemiBold" w:hint="default"/>
        <w:b/>
        <w:bCs/>
        <w:i w:val="0"/>
        <w:iCs w:val="0"/>
        <w:color w:val="3B3B3A"/>
        <w:w w:val="121"/>
        <w:sz w:val="20"/>
        <w:szCs w:val="20"/>
      </w:rPr>
    </w:lvl>
    <w:lvl w:ilvl="2">
      <w:numFmt w:val="bullet"/>
      <w:lvlText w:val="•"/>
      <w:lvlJc w:val="left"/>
      <w:pPr>
        <w:ind w:left="1531" w:hanging="442"/>
      </w:pPr>
    </w:lvl>
    <w:lvl w:ilvl="3">
      <w:numFmt w:val="bullet"/>
      <w:lvlText w:val="•"/>
      <w:lvlJc w:val="left"/>
      <w:pPr>
        <w:ind w:left="2503" w:hanging="442"/>
      </w:pPr>
    </w:lvl>
    <w:lvl w:ilvl="4">
      <w:numFmt w:val="bullet"/>
      <w:lvlText w:val="•"/>
      <w:lvlJc w:val="left"/>
      <w:pPr>
        <w:ind w:left="3475" w:hanging="442"/>
      </w:pPr>
    </w:lvl>
    <w:lvl w:ilvl="5">
      <w:numFmt w:val="bullet"/>
      <w:lvlText w:val="•"/>
      <w:lvlJc w:val="left"/>
      <w:pPr>
        <w:ind w:left="4446" w:hanging="442"/>
      </w:pPr>
    </w:lvl>
    <w:lvl w:ilvl="6">
      <w:numFmt w:val="bullet"/>
      <w:lvlText w:val="•"/>
      <w:lvlJc w:val="left"/>
      <w:pPr>
        <w:ind w:left="5418" w:hanging="442"/>
      </w:pPr>
    </w:lvl>
    <w:lvl w:ilvl="7">
      <w:numFmt w:val="bullet"/>
      <w:lvlText w:val="•"/>
      <w:lvlJc w:val="left"/>
      <w:pPr>
        <w:ind w:left="6390" w:hanging="442"/>
      </w:pPr>
    </w:lvl>
    <w:lvl w:ilvl="8">
      <w:numFmt w:val="bullet"/>
      <w:lvlText w:val="•"/>
      <w:lvlJc w:val="left"/>
      <w:pPr>
        <w:ind w:left="7362" w:hanging="442"/>
      </w:pPr>
    </w:lvl>
  </w:abstractNum>
  <w:abstractNum w:abstractNumId="1" w15:restartNumberingAfterBreak="0">
    <w:nsid w:val="5C7951BE"/>
    <w:multiLevelType w:val="multilevel"/>
    <w:tmpl w:val="E6D29A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D2A"/>
    <w:rsid w:val="00032A43"/>
    <w:rsid w:val="000828A4"/>
    <w:rsid w:val="000B0A96"/>
    <w:rsid w:val="001734D2"/>
    <w:rsid w:val="002D2012"/>
    <w:rsid w:val="002E299E"/>
    <w:rsid w:val="00312FDE"/>
    <w:rsid w:val="00355CE2"/>
    <w:rsid w:val="00435941"/>
    <w:rsid w:val="0046777C"/>
    <w:rsid w:val="005844E8"/>
    <w:rsid w:val="005B4C04"/>
    <w:rsid w:val="005C7C1E"/>
    <w:rsid w:val="0060353C"/>
    <w:rsid w:val="00685CA3"/>
    <w:rsid w:val="006E75E2"/>
    <w:rsid w:val="00712D2A"/>
    <w:rsid w:val="007E1BB9"/>
    <w:rsid w:val="007E784F"/>
    <w:rsid w:val="007F61E1"/>
    <w:rsid w:val="00854F0F"/>
    <w:rsid w:val="00884C93"/>
    <w:rsid w:val="00932D6D"/>
    <w:rsid w:val="009B0827"/>
    <w:rsid w:val="00A205E6"/>
    <w:rsid w:val="00A223E8"/>
    <w:rsid w:val="00A329E0"/>
    <w:rsid w:val="00AC119F"/>
    <w:rsid w:val="00B11B98"/>
    <w:rsid w:val="00B57193"/>
    <w:rsid w:val="00B70B43"/>
    <w:rsid w:val="00C82DC7"/>
    <w:rsid w:val="00C918AA"/>
    <w:rsid w:val="00D054B5"/>
    <w:rsid w:val="00D2548C"/>
    <w:rsid w:val="00D8782F"/>
    <w:rsid w:val="00E12ADD"/>
    <w:rsid w:val="00E50652"/>
    <w:rsid w:val="00EB138B"/>
    <w:rsid w:val="00F73C2D"/>
    <w:rsid w:val="00FF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E7FE9F"/>
  <w15:docId w15:val="{5C37545E-A349-F249-B612-F485AA69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40" w:lineRule="auto" w:after="80"/>
      <w:ind w:firstLine="709"/>
      <w:jc w:val="both"/>
    </w:pPr>
    <w:rPr>
      <w:rFonts w:ascii="Arial" w:eastAsia="Arial" w:hAnsi="Arial" w:cs="Archivo-SemiBold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5844E8"/>
    <w:pPr>
      <w:keepNext/>
      <w:keepLines/>
      <w:pageBreakBefore w:val="0"/>
      <w:widowControl/>
      <w:autoSpaceDE/>
      <w:autoSpaceDN/>
      <w:spacing w:before="160" w:after="80"/>
      <w:jc w:val="both"/>
      <w:outlineLvl w:val="0"/>
    </w:pPr>
    <w:rPr>
      <w:rFonts w:ascii="Arial" w:eastAsiaTheme="majorEastAsia" w:hAnsi="Arial" w:cstheme="majorBidi" w:eastAsia="Arial"/>
      <w:b/>
      <w:caps/>
      <w:color w:val="000000"/>
      <w:sz w:val="24"/>
      <w:szCs w:val="32"/>
      <w:lang w:val="pt-BR"/>
    </w:rPr>
  </w:style>
  <w:style w:type="paragraph" w:styleId="Ttulo2">
    <w:name w:val="heading 2"/>
    <w:basedOn w:val="Normal"/>
    <w:next w:val="Normal"/>
    <w:link w:val="Ttulo2Char"/>
    <w:unhideWhenUsed/>
    <w:qFormat/>
    <w:rsid w:val="005844E8"/>
    <w:pPr>
      <w:keepNext/>
      <w:keepLines/>
      <w:pageBreakBefore w:val="0"/>
      <w:widowControl/>
      <w:autoSpaceDE/>
      <w:autoSpaceDN/>
      <w:spacing w:before="100" w:after="60"/>
      <w:outlineLvl w:val="1"/>
    </w:pPr>
    <w:rPr>
      <w:rFonts w:ascii="Arial" w:eastAsiaTheme="majorEastAsia" w:hAnsi="Arial" w:cstheme="majorBidi" w:eastAsia="Arial"/>
      <w:b/>
      <w:color w:val="000000"/>
      <w:sz w:val="22"/>
      <w:szCs w:val="26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60353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353C"/>
    <w:rPr>
      <w:rFonts w:ascii="Archivo-SemiBold" w:eastAsia="Archivo-SemiBold" w:hAnsi="Archivo-SemiBold" w:cs="Archivo-SemiBold"/>
    </w:rPr>
  </w:style>
  <w:style w:type="paragraph" w:styleId="Rodap">
    <w:name w:val="footer"/>
    <w:basedOn w:val="Normal"/>
    <w:link w:val="RodapChar"/>
    <w:uiPriority w:val="99"/>
    <w:unhideWhenUsed/>
    <w:rsid w:val="0060353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353C"/>
    <w:rPr>
      <w:rFonts w:ascii="Archivo-SemiBold" w:eastAsia="Archivo-SemiBold" w:hAnsi="Archivo-SemiBold" w:cs="Archivo-SemiBold"/>
    </w:rPr>
  </w:style>
  <w:style w:type="character" w:customStyle="1" w:styleId="Ttulo1Char">
    <w:name w:val="Título 1 Char"/>
    <w:basedOn w:val="Fontepargpadro"/>
    <w:link w:val="Ttulo1"/>
    <w:uiPriority w:val="9"/>
    <w:rsid w:val="005844E8"/>
    <w:rPr>
      <w:rFonts w:ascii="Calibri" w:eastAsiaTheme="majorEastAsia" w:hAnsi="Calibri" w:cstheme="majorBidi"/>
      <w:b/>
      <w:caps/>
      <w:sz w:val="24"/>
      <w:szCs w:val="32"/>
      <w:lang w:val="pt-BR"/>
    </w:rPr>
  </w:style>
  <w:style w:type="character" w:customStyle="1" w:styleId="Ttulo2Char">
    <w:name w:val="Título 2 Char"/>
    <w:basedOn w:val="Fontepargpadro"/>
    <w:link w:val="Ttulo2"/>
    <w:rsid w:val="005844E8"/>
    <w:rPr>
      <w:rFonts w:ascii="Calibri" w:eastAsiaTheme="majorEastAsia" w:hAnsi="Calibri" w:cstheme="majorBidi"/>
      <w:b/>
      <w:sz w:val="24"/>
      <w:szCs w:val="26"/>
      <w:lang w:val="pt-BR"/>
    </w:rPr>
  </w:style>
  <w:style w:type="paragraph" w:styleId="Textodenotaderodap">
    <w:name w:val="footnote text"/>
    <w:basedOn w:val="Normal"/>
    <w:link w:val="TextodenotaderodapChar"/>
    <w:semiHidden/>
    <w:rsid w:val="005844E8"/>
    <w:pPr>
      <w:widowControl/>
      <w:autoSpaceDE/>
      <w:autoSpaceDN/>
      <w:jc w:val="both"/>
    </w:pPr>
    <w:rPr>
      <w:rFonts w:ascii="Calibri" w:eastAsia="Calibri" w:hAnsi="Calibri" w:cs="Times New Roman"/>
      <w:sz w:val="20"/>
      <w:szCs w:val="20"/>
      <w:lang w:val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5844E8"/>
    <w:rPr>
      <w:rFonts w:ascii="Calibri" w:eastAsia="Calibri" w:hAnsi="Calibri" w:cs="Times New Roman"/>
      <w:sz w:val="20"/>
      <w:szCs w:val="20"/>
      <w:lang w:val="pt-BR"/>
    </w:rPr>
  </w:style>
  <w:style w:type="character" w:styleId="Refdenotaderodap">
    <w:name w:val="footnote reference"/>
    <w:basedOn w:val="Fontepargpadro"/>
    <w:semiHidden/>
    <w:rsid w:val="005844E8"/>
    <w:rPr>
      <w:rFonts w:cs="Times New Roman"/>
      <w:vertAlign w:val="superscript"/>
    </w:rPr>
  </w:style>
  <w:style w:type="paragraph" w:styleId="Textodenotadefim">
    <w:name w:val="endnote text"/>
    <w:basedOn w:val="Normal"/>
    <w:link w:val="TextodenotadefimChar"/>
    <w:uiPriority w:val="99"/>
    <w:unhideWhenUsed/>
    <w:rsid w:val="005844E8"/>
    <w:pPr>
      <w:widowControl/>
      <w:autoSpaceDE/>
      <w:autoSpaceDN/>
      <w:jc w:val="both"/>
    </w:pPr>
    <w:rPr>
      <w:rFonts w:ascii="Calibri" w:eastAsia="Calibri" w:hAnsi="Calibri" w:cs="Times New Roman"/>
      <w:sz w:val="20"/>
      <w:szCs w:val="20"/>
      <w:lang w:val="pt-BR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5844E8"/>
    <w:rPr>
      <w:rFonts w:ascii="Calibri" w:eastAsia="Calibri" w:hAnsi="Calibri" w:cs="Times New Roman"/>
      <w:sz w:val="20"/>
      <w:szCs w:val="20"/>
      <w:lang w:val="pt-BR"/>
    </w:rPr>
  </w:style>
  <w:style w:type="character" w:styleId="Refdenotadefim">
    <w:name w:val="endnote reference"/>
    <w:basedOn w:val="Fontepargpadro"/>
    <w:uiPriority w:val="99"/>
    <w:semiHidden/>
    <w:unhideWhenUsed/>
    <w:rsid w:val="005844E8"/>
    <w:rPr>
      <w:vertAlign w:val="superscript"/>
    </w:rPr>
  </w:style>
  <w:style w:type="table" w:styleId="Tabelacomgrade">
    <w:name w:val="Table Grid"/>
    <w:basedOn w:val="Tabelanormal"/>
    <w:uiPriority w:val="39"/>
    <w:rsid w:val="005844E8"/>
    <w:pPr>
      <w:widowControl/>
      <w:autoSpaceDE/>
      <w:autoSpaceDN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844E8"/>
    <w:pPr>
      <w:widowControl/>
      <w:adjustRightInd w:val="0"/>
    </w:pPr>
    <w:rPr>
      <w:rFonts w:ascii="Calibri" w:eastAsia="Times New Roman" w:hAnsi="Calibri" w:cs="Calibri"/>
      <w:color w:val="000000"/>
      <w:sz w:val="24"/>
      <w:szCs w:val="24"/>
      <w:lang w:val="pt-BR"/>
    </w:rPr>
  </w:style>
  <w:style w:type="paragraph" w:customStyle="1" w:styleId="Title">
    <w:name w:val="Title"/>
    <w:pPr>
      <w:spacing w:after="160"/>
      <w:jc w:val="center"/>
    </w:pPr>
    <w:rPr>
      <w:rFonts w:ascii="Arial" w:hAnsi="Arial" w:eastAsia="Arial"/>
      <w:b/>
      <w:sz w:val="28"/>
    </w:rPr>
  </w:style>
  <w:style w:type="paragraph" w:customStyle="1" w:styleId="Subtitle">
    <w:name w:val="Subtitle"/>
    <w:pPr>
      <w:spacing w:after="200"/>
      <w:jc w:val="center"/>
    </w:pPr>
    <w:rPr>
      <w:rFonts w:ascii="Arial" w:hAnsi="Arial" w:eastAsia="Arial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6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361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revista_senai_miolo1</vt:lpstr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Fine-Tuning Multidomínio com QLoRA em LLMs</dc:title>
  <dc:creator>Jéssica Franzon Cruz do Espírito Santo; Nicoli Felipe; Vinicius de Jesus Silva</dc:creator>
  <cp:lastModifiedBy>Bianca Siqueira Martins Domingos</cp:lastModifiedBy>
  <cp:revision>9</cp:revision>
  <dcterms:created xsi:type="dcterms:W3CDTF">2024-05-10T10:53:00Z</dcterms:created>
  <dcterms:modified xsi:type="dcterms:W3CDTF">2025-06-25T16:16:00Z</dcterms:modified>
  <dc:subject>Raciocínio financeiro e diagnóstico industrial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2022-05-23T00:00:00Z</vt:filetime>
  </property>
  <property fmtid="{D5CDD505-2E9C-101B-9397-08002B2CF9AE}" pid="3" name="Creator">
    <vt:lpwstr>Adobe Illustrator 26.2 (Macintosh)</vt:lpwstr>
  </property>
  <property fmtid="{D5CDD505-2E9C-101B-9397-08002B2CF9AE}" pid="4" name="LastSaved">
    <vt:filetime>2022-05-23T00:00:00Z</vt:filetime>
  </property>
</Properties>
</file>