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4e4e5"/>
          <w:highlight w:val="black"/>
        </w:rPr>
      </w:pPr>
      <w:r w:rsidDel="00000000" w:rsidR="00000000" w:rsidRPr="00000000">
        <w:rPr>
          <w:color w:val="e4e4e5"/>
          <w:sz w:val="24"/>
          <w:szCs w:val="24"/>
          <w:highlight w:val="black"/>
          <w:rtl w:val="0"/>
        </w:rPr>
        <w:t xml:space="preserve">Relatório da WMO documenta impactos climáticos e meteorológicos crescentes</w:t>
      </w:r>
      <w:r w:rsidDel="00000000" w:rsidR="00000000" w:rsidRPr="00000000">
        <w:rPr>
          <w:color w:val="e4e4e5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color w:val="e4e4e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https://public.wmo.int/news/media-centre/wmo-report-documents-spiralling-weather-and-climate-impacts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ublic.wmo.int/news/media-centre/wmo-report-documents-spiralling-weather-and-climate-imp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