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Degelo, AMOC e Salinidade – Textos-base</w:t>
      </w:r>
    </w:p>
    <w:p>
      <w:pPr/>
      <w:r>
        <w:t xml:space="preserve">Oct 2, 2026</w:t>
      </w:r>
      <w:r>
        <w:t xml:space="preserve"> · </w:t>
      </w:r>
      <w:r>
        <w:t xml:space="preserve">@João</w:t>
      </w:r>
    </w:p>
    <w:p>
      <w:pPr>
        <w:pStyle w:val="Heading2"/>
      </w:pPr>
      <w:r>
        <w:t xml:space="preserve">Introdução</w:t>
      </w:r>
    </w:p>
    <w:p>
      <w:pPr/>
      <w:r>
        <w:t xml:space="preserve">O degelo das calotas polares altera a salinidade do oceano, e a salinidade controla a força da AMOC, a grande corrente que redistribui calor no Atlântico. Essa cadeia causal liga um fenômeno distante, nos polos, à dinâmica da costa brasileira.</w:t>
      </w:r>
    </w:p>
    <w:p>
      <w:pPr/>
      <w:r>
        <w:t xml:space="preserve">Este documento reúne os textos-base da parte de revisão teórica do artigo </w:t>
      </w:r>
      <w:r>
        <w:rPr>
          <w:i/>
        </w:rPr>
        <w:t xml:space="preserve">Modelagem preditiva dos possíveis impactos do derretimento das calotas polares sobre a dinâmica costeira brasileira utilizando Machine Learning</w:t>
      </w:r>
      <w:r>
        <w:t xml:space="preserve">. Cada seção pode ser adaptada diretamente para o texto final. As afirmações vêm acompanhadas do autor e do ano, e as referências completas estão no fim.</w:t>
      </w:r>
    </w:p>
    <w:p>
      <w:pPr>
        <w:pStyle w:val="Heading2"/>
      </w:pPr>
      <w:r>
        <w:t xml:space="preserve">Degelo das calotas polares</w:t>
      </w:r>
    </w:p>
    <w:p>
      <w:pPr/>
      <w:r>
        <w:t xml:space="preserve">Entre 1992 e 2020, as camadas de gelo da Groenlândia e da Antártida perderam cerca de 7.560 bilhões de toneladas de gelo, o que elevou o nível médio global do mar em aproximadamente 21 mm (OTOSAKA et al., 2023). Essa estimativa vem do IMBIE, um esforço internacional que combina dezenas de levantamentos por satélite (altimetria, gravimetria e balanço de entrada e saída de massa).</w:t>
      </w:r>
    </w:p>
    <w:p>
      <w:pPr/>
      <w:r>
        <w:rPr>
          <w:b/>
        </w:rPr>
        <w:t xml:space="preserve">Groenlândia.</w:t>
      </w:r>
      <w:r>
        <w:t xml:space="preserve"> O manto de gelo estava próximo do equilíbrio nos anos 1990, mas passou a perder massa de forma acelerada. De 1992 a 2018 foram perdidas cerca de 3.900 bilhões de toneladas, o equivalente a 10,8 mm de elevação do mar, com pico de cerca de 345 bilhões de toneladas por ano em 2011 (IMBIE TEAM, 2020). A perda vem tanto do escoamento de água de degelo superficial quanto da descarga de gelo pelas geleiras que terminam no mar.</w:t>
      </w:r>
    </w:p>
    <w:p>
      <w:pPr/>
      <w:r>
        <w:rPr>
          <w:b/>
        </w:rPr>
        <w:t xml:space="preserve">Antártida.</w:t>
      </w:r>
      <w:r>
        <w:t xml:space="preserve"> A perda de massa antártica aumentou cerca de seis vezes entre as décadas de 1980 e 2010, concentrada sobretudo no setor oeste e na península (RIGNOT et al., 2019). Esse degelo libera água doce no Oceano Austral, que está diretamente conectado ao Atlântico Sul.</w:t>
      </w:r>
    </w:p>
    <w:p>
      <w:pPr/>
      <w:r>
        <w:rPr>
          <w:b/>
        </w:rPr>
        <w:t xml:space="preserve">Por que importa para o artigo.</w:t>
      </w:r>
      <w:r>
        <w:t xml:space="preserve"> Além de elevar o nível do mar, o degelo injeta grandes volumes de água doce justamente nas regiões onde se formam as águas profundas que movem a circulação oceânica global. É por esse caminho que ele afeta a salinidade e a AMOC, discutidas a seguir.</w:t>
      </w:r>
    </w:p>
    <w:p>
      <w:pPr>
        <w:pStyle w:val="Heading2"/>
      </w:pPr>
      <w:r>
        <w:t xml:space="preserve">Salinidade oceânica</w:t>
      </w:r>
    </w:p>
    <w:p>
      <w:pPr/>
      <w:r>
        <w:t xml:space="preserve">A salinidade é, junto com a temperatura, o que define a densidade da água do mar. Água mais fria e mais salgada é mais densa e afunda; água mais quente ou mais doce fica na superfície. Por isso a circulação profunda do oceano é chamada de </w:t>
      </w:r>
      <w:r>
        <w:rPr>
          <w:b/>
        </w:rPr>
        <w:t xml:space="preserve">termohalina</w:t>
      </w:r>
      <w:r>
        <w:t xml:space="preserve"> (termo = temperatura, halina = sal).</w:t>
      </w:r>
    </w:p>
    <w:p>
      <w:pPr/>
      <w:r>
        <w:rPr>
          <w:b/>
        </w:rPr>
        <w:t xml:space="preserve">Padrão global.</w:t>
      </w:r>
      <w:r>
        <w:t xml:space="preserve"> Nas últimas décadas, as regiões salgadas ficaram mais salgadas e as regiões doces ficaram mais doces, um sinal da intensificação do ciclo hidrológico pelo aquecimento global (DURACK; WIJFFELS, 2010).</w:t>
      </w:r>
    </w:p>
    <w:p>
      <w:pPr/>
      <w:r>
        <w:rPr>
          <w:b/>
        </w:rPr>
        <w:t xml:space="preserve">Atlântico Norte.</w:t>
      </w:r>
      <w:r>
        <w:t xml:space="preserve"> A água de degelo da Groenlândia vem se acumulando no giro subpolar, região onde a água superficial afunda para formar a água profunda do Atlântico Norte. Simulações de alta resolução indicam que essa água doce já começa a interferir na formação de águas profundas no Mar do Labrador (BÖNING et al., 2016).</w:t>
      </w:r>
    </w:p>
    <w:p>
      <w:pPr/>
      <w:r>
        <w:rPr>
          <w:b/>
        </w:rPr>
        <w:t xml:space="preserve">Atlântico Sul.</w:t>
      </w:r>
      <w:r>
        <w:t xml:space="preserve"> Este é o ponto mais relevante para o Brasil. Zhu e Liu (2020) mostraram que o enfraquecimento da AMOC provoca um </w:t>
      </w:r>
      <w:r>
        <w:rPr>
          <w:b/>
        </w:rPr>
        <w:t xml:space="preserve">acúmulo de sal no Atlântico Sul</w:t>
      </w:r>
      <w:r>
        <w:t xml:space="preserve">: com a circulação mais lenta, menos sal é exportado para o norte e ele se concentra na bacia. Esse acúmulo funciona como uma “impressão digital” remota da AMOC, com relação de cerca de 2,3 Sv de enfraquecimento para cada 0,1 psu de aumento de salinidade (ZHU; LIU, 2020; ZHU et al., 2024). Um trabalho posterior usou uma impressão digital de salinidade otimizada e encontrou sinais de enfraquecimento acelerado da AMOC (ZHU et al., 2023).</w:t>
      </w:r>
    </w:p>
    <w:p>
      <w:pPr/>
      <w:r>
        <w:rPr>
          <w:b/>
        </w:rPr>
        <w:t xml:space="preserve">Por que importa para o artigo.</w:t>
      </w:r>
      <w:r>
        <w:t xml:space="preserve"> A salinidade da superfície é medida por satélite e pelas boias Argo, o que a torna uma variável de entrada viável para modelos de Machine Learning. O sinal no Atlântico Sul, perto da costa brasileira, conecta diretamente o degelo polar à área de estudo.</w:t>
      </w:r>
    </w:p>
    <w:p>
      <w:pPr>
        <w:pStyle w:val="Heading2"/>
      </w:pPr>
      <w:r>
        <w:t xml:space="preserve">AMOC: a circulação de revolvimento meridional do Atlântico</w:t>
      </w:r>
    </w:p>
    <w:p>
      <w:pPr/>
      <w:r>
        <w:t xml:space="preserve">A AMOC já enfraqueceu nas últimas décadas e deve continuar enfraquecendo neste século; o que ainda se debate é se e quando ela pode entrar em colapso.</w:t>
      </w:r>
    </w:p>
    <w:p>
      <w:pPr/>
      <w:r>
        <w:rPr>
          <w:b/>
        </w:rPr>
        <w:t xml:space="preserve">O que é.</w:t>
      </w:r>
      <w:r>
        <w:t xml:space="preserve"> A AMOC (</w:t>
      </w:r>
      <w:r>
        <w:rPr>
          <w:i/>
        </w:rPr>
        <w:t xml:space="preserve">Atlantic Meridional Overturning Circulation</w:t>
      </w:r>
      <w:r>
        <w:t xml:space="preserve">) é um sistema de correntes que leva água quente e salgada dos trópicos para o Atlântico Norte pela superfície. Lá a água esfria, fica densa, afunda e retorna para o sul em profundidade. Sua intensidade é medida em sverdrups (1 Sv = 1 milhão de m³/s) e fica em torno de 17 Sv nas redes de monitoramento, incluindo a rede SAMBA, a 34,5°S, perto da costa sul do Brasil (JOHNS et al., 2023).</w:t>
      </w:r>
    </w:p>
    <w:p>
      <w:pPr/>
      <w:r>
        <w:rPr>
          <w:b/>
        </w:rPr>
        <w:t xml:space="preserve">Biestabilidade.</w:t>
      </w:r>
      <w:r>
        <w:t xml:space="preserve"> Stommel (1961) mostrou, com um modelo simples, que uma circulação termohalina pode ter dois estados estáveis: um forte e um fraco. Se receber água doce suficiente, ela pode saltar para o estado fraco e não voltar facilmente. É por isso que a AMOC é tratada como um </w:t>
      </w:r>
      <w:r>
        <w:rPr>
          <w:i/>
        </w:rPr>
        <w:t xml:space="preserve">ponto de inflexão</w:t>
      </w:r>
      <w:r>
        <w:t xml:space="preserve"> (tipping point) do clima (WEIJER et al., 2019).</w:t>
      </w:r>
    </w:p>
    <w:p>
      <w:pPr/>
      <w:r>
        <w:rPr>
          <w:b/>
        </w:rPr>
        <w:t xml:space="preserve">Enfraquecimento observado.</w:t>
      </w:r>
    </w:p>
    <w:p>
      <w:pPr>
        <w:pStyle w:val="ListParagraph"/>
        <w:numPr>
          <w:ilvl w:val="0"/>
          <w:numId w:val="2"/>
        </w:numPr>
      </w:pPr>
      <w:r>
        <w:t xml:space="preserve">Caesar et al. (2018) identificaram uma “impressão digital” na temperatura do mar (resfriamento ao sul da Groenlândia e aquecimento perto da costa dos EUA) que indica um enfraquecimento de cerca de 3 Sv, ou 15%, desde meados do século XX.</w:t>
      </w:r>
    </w:p>
    <w:p>
      <w:pPr>
        <w:pStyle w:val="ListParagraph"/>
        <w:numPr>
          <w:ilvl w:val="0"/>
          <w:numId w:val="2"/>
        </w:numPr>
      </w:pPr>
      <w:r>
        <w:t xml:space="preserve">Reconstruções com dados indiretos (sedimentos e corais) indicam que a AMOC está no estado mais fraco do último milênio (CAESAR et al., 2021).</w:t>
      </w:r>
    </w:p>
    <w:p>
      <w:pPr>
        <w:pStyle w:val="ListParagraph"/>
        <w:numPr>
          <w:ilvl w:val="0"/>
          <w:numId w:val="2"/>
        </w:numPr>
      </w:pPr>
      <w:r>
        <w:t xml:space="preserve">As medições diretas da rede RAPID (26,5°N) mostram queda de 18–19 Sv em 2004–2008 para 15–17 Sv em 2011–2020 (JOHNS et al., 2023).</w:t>
      </w:r>
    </w:p>
    <w:p>
      <w:pPr/>
      <w:r>
        <w:rPr>
          <w:b/>
        </w:rPr>
        <w:t xml:space="preserve">Projeções e risco de colapso.</w:t>
      </w:r>
      <w:r>
        <w:t xml:space="preserve"> O IPCC considera muito provável que a AMOC enfraqueça no século XXI, com queda média de 24% em cenário de baixas emissões e 39% em cenário de emissões muito altas, e avalia com confiança média que não haverá colapso abrupto antes de 2100 (FOX-KEMPER et al., 2021). Estudos recentes divergem:</w:t>
      </w:r>
    </w:p>
    <w:p>
      <w:pPr>
        <w:pStyle w:val="ListParagraph"/>
        <w:numPr>
          <w:ilvl w:val="0"/>
          <w:numId w:val="3"/>
        </w:numPr>
      </w:pPr>
      <w:r>
        <w:rPr>
          <w:b/>
        </w:rPr>
        <w:t xml:space="preserve">Sinais de alerta:</w:t>
      </w:r>
      <w:r>
        <w:t xml:space="preserve"> Boers (2021) encontrou sinais estatísticos de perda de estabilidade em oito índices de temperatura e salinidade. Ditlevsen e Ditlevsen (2023) estimaram um colapso entre 2037 e 2109, mais provável por volta de 2050. Van Westen, Kliphuis e Dijkstra (2024) propuseram um indicador físico baseado no transporte de água doce na borda sul do Atlântico e concluíram que a AMOC está em rota de colapso.</w:t>
      </w:r>
    </w:p>
    <w:p>
      <w:pPr>
        <w:pStyle w:val="ListParagraph"/>
        <w:numPr>
          <w:ilvl w:val="0"/>
          <w:numId w:val="3"/>
        </w:numPr>
      </w:pPr>
      <w:r>
        <w:rPr>
          <w:b/>
        </w:rPr>
        <w:t xml:space="preserve">Colapso após 2100:</w:t>
      </w:r>
      <w:r>
        <w:t xml:space="preserve"> Drijfhout et al. (2025) estenderam modelos do IPCC além de 2100 e encontraram desligamento em 67% das simulações de emissões muito altas e em 25% das de baixas emissões.</w:t>
      </w:r>
    </w:p>
    <w:p>
      <w:pPr>
        <w:pStyle w:val="ListParagraph"/>
        <w:numPr>
          <w:ilvl w:val="0"/>
          <w:numId w:val="3"/>
        </w:numPr>
      </w:pPr>
      <w:r>
        <w:rPr>
          <w:b/>
        </w:rPr>
        <w:t xml:space="preserve">Enfraquecimento limitado:</w:t>
      </w:r>
      <w:r>
        <w:t xml:space="preserve"> Baker et al. (2025) mostraram que, em 34 modelos, os ventos do Oceano Austral sustentam a circulação mesmo em cenários extremos. Bonan et al. (2025) usaram restrições observacionais e projetaram queda de 18% a 43% até 2100, considerando o colapso improvável neste século.</w:t>
      </w:r>
    </w:p>
    <w:p>
      <w:pPr/>
      <w:r>
        <w:t xml:space="preserve">Para o artigo, a conclusão segura é: o enfraquecimento é consenso, a magnitude e o momento de um eventual colapso ainda são incertos, e essa incerteza justifica abordagens preditivas baseadas em dados.</w:t>
      </w:r>
    </w:p>
    <w:p>
      <w:pPr>
        <w:pStyle w:val="Heading2"/>
      </w:pPr>
      <w:r>
        <w:t xml:space="preserve">Impactos no Atlântico Sul e na costa brasileira</w:t>
      </w:r>
    </w:p>
    <w:p>
      <w:pPr/>
      <w:r>
        <w:t xml:space="preserve">O enfraquecimento da AMOC chega ao Brasil por quatro caminhos: nível do mar, salinidade e temperatura do Atlântico Sul, regime de chuvas e, indiretamente, erosão costeira.</w:t>
      </w:r>
    </w:p>
    <w:p>
      <w:pPr/>
      <w:r>
        <w:rPr>
          <w:b/>
        </w:rPr>
        <w:t xml:space="preserve">1. Nível do mar dinâmico.</w:t>
      </w:r>
      <w:r>
        <w:t xml:space="preserve"> Além da elevação global causada pelo degelo, a AMOC mantém um desnível na superfície do Atlântico por equilíbrio geostrófico. Quando ela enfraquece, esse desnível se redistribui e o mar sobe regionalmente; na simulação de colapso de van Westen, Kliphuis e Dijkstra (2024), algumas regiões costeiras tiveram mais de 70 cm de elevação dinâmica. A maior parte dos estudos foca o Atlântico Norte; o sinal no Atlântico Sul é menor e menos estudado, o que representa uma lacuna que o artigo pode explorar.</w:t>
      </w:r>
    </w:p>
    <w:p>
      <w:pPr/>
      <w:r>
        <w:rPr>
          <w:b/>
        </w:rPr>
        <w:t xml:space="preserve">2. Elevação já observada no Brasil.</w:t>
      </w:r>
      <w:r>
        <w:t xml:space="preserve"> O relatório do Painel Brasileiro de Mudanças Climáticas registra aumento de 1,2 mm/ano em Santos desde a década de 1940 e de 1,3 mm/ano na Ilha Fiscal (RJ) entre 1963 e 2011, com taxas de 1,8 a 4,2 mm/ano em SP e RJ desde os anos 1950. O mesmo relatório destaca que mais de 60% da população vive em cidades costeiras e que faltam séries históricas contínuas (PBMC, 2016).</w:t>
      </w:r>
    </w:p>
    <w:p>
      <w:pPr/>
      <w:r>
        <w:rPr>
          <w:b/>
        </w:rPr>
        <w:t xml:space="preserve">3. Salinidade e calor no Atlântico Sul.</w:t>
      </w:r>
      <w:r>
        <w:t xml:space="preserve"> Com a AMOC mais fraca, o Atlântico Sul acumula sal (ZHU; LIU, 2020) e calor, porque menos energia é transportada para o norte (ORIHUELA-PINTO; ENGLAND; TASCHETTO, 2022). Águas mais quentes se expandem e também contribuem para a elevação do mar na costa.</w:t>
      </w:r>
    </w:p>
    <w:p>
      <w:pPr/>
      <w:r>
        <w:rPr>
          <w:b/>
        </w:rPr>
        <w:t xml:space="preserve">4. Chuvas.</w:t>
      </w:r>
      <w:r>
        <w:t xml:space="preserve"> O enfraquecimento da AMOC desloca a Zona de Convergência Intertropical (ZCIT) para o sul. Os modelos indicam mais chuva e mais extremos no Nordeste brasileiro e seca no norte da América do Sul e em partes da Amazônia (NIAN et al., 2023; MECCIA et al., 2025). Mais chuva extrema em capitais costeiras do Nordeste aumenta o risco de inundações combinadas com ressacas, e mudanças na vazão dos rios alteram o aporte de sedimentos para as praias.</w:t>
      </w:r>
    </w:p>
    <w:p>
      <w:pPr/>
      <w:r>
        <w:rPr>
          <w:b/>
        </w:rPr>
        <w:t xml:space="preserve">5. Erosão costeira.</w:t>
      </w:r>
      <w:r>
        <w:t xml:space="preserve"> Cerca de 60% das praias brasileiras já sofrem processos de erosão ou acúmulo de sedimentos, com 60% a 65% da orla em erosão no Norte e no Nordeste e cerca de 15% no Sul e no Sudeste (MUEHE, 2018). A elevação do mar e as mudanças em ondas, ressacas e sedimentos tendem a agravar esse quadro, que é justamente a variável-alvo natural de um modelo preditivo de dinâmica costeira.</w:t>
      </w:r>
    </w:p>
    <w:p>
      <w:pPr>
        <w:pStyle w:val="Heading2"/>
      </w:pPr>
      <w:r>
        <w:t xml:space="preserve">Machine Learning aplicado ao tema</w:t>
      </w:r>
    </w:p>
    <w:p>
      <w:pPr/>
      <w:r>
        <w:t xml:space="preserve">O Machine Learning já é usado para estimar a AMOC, reconstruir salinidade e prever nível do mar e linha de costa, inclusive no litoral brasileiro; o que falta é conectar essas peças numa mesma cadeia preditiva, que é a proposta do artigo.</w:t>
      </w:r>
    </w:p>
    <w:p>
      <w:pPr/>
      <w:r>
        <w:rPr>
          <w:b/>
        </w:rPr>
        <w:t xml:space="preserve">AMOC e oceano.</w:t>
      </w:r>
      <w:r>
        <w:t xml:space="preserve"> Wu et al. (2025) treinaram redes neurais com simulações do modelo climático CESM em condições glaciais para prever a intensidade da AMOC com 20 anos de antecedência a partir de oito variáveis. O fluxo de água doce na superfície e a densidade a 200 m apareceram como os principais controles, e a regressão simbólica foi usada para extrair uma equação interpretável. Sonnewald e Lguensat (2021) usaram ML interpretável para revelar como o aquecimento altera a circulação do Atlântico Norte, e Sonnewald et al. (2021) revisaram como o ML conecta observações, teoria e modelos numéricos do oceano.</w:t>
      </w:r>
    </w:p>
    <w:p>
      <w:pPr/>
      <w:r>
        <w:rPr>
          <w:b/>
        </w:rPr>
        <w:t xml:space="preserve">Nível do mar no Brasil.</w:t>
      </w:r>
      <w:r>
        <w:t xml:space="preserve"> Primo de Siqueira e Paiva (2021) combinaram o modelo hidrodinâmico HYCOM com uma rede neural para prever o nível do mar em Cananéia, Ilha Fiscal e Imbituba, reduzindo os erros em cerca de 50% na faixa de variação forçada pela atmosfera. É a referência mais próxima da área de estudo. Nieves, Radin e Camps-Valls (2021) mostraram que a temperatura do oceano pode servir de preditor para o nível do mar costeiro em horizontes de meses a anos.</w:t>
      </w:r>
    </w:p>
    <w:p>
      <w:pPr/>
      <w:r>
        <w:rPr>
          <w:b/>
        </w:rPr>
        <w:t xml:space="preserve">Revisões.</w:t>
      </w:r>
      <w:r>
        <w:t xml:space="preserve"> Ayinde et al. (2024) revisaram métodos de ML para nível do mar: redes neurais profundas e híbridas superam regressões no curto prazo, e a recomendação é integrar modelos físicos de circulação geral com ML para previsões regionais de longo prazo.</w:t>
      </w:r>
    </w:p>
    <w:p>
      <w:pPr/>
      <w:r>
        <w:rPr>
          <w:b/>
        </w:rPr>
        <w:t xml:space="preserve">Implicações para o desenho do modelo.</w:t>
      </w:r>
    </w:p>
    <w:p>
      <w:pPr>
        <w:pStyle w:val="ListParagraph"/>
        <w:numPr>
          <w:ilvl w:val="0"/>
          <w:numId w:val="4"/>
        </w:numPr>
      </w:pPr>
      <w:r>
        <w:rPr>
          <w:b/>
        </w:rPr>
        <w:t xml:space="preserve">Entradas candidatas:</w:t>
      </w:r>
      <w:r>
        <w:t xml:space="preserve"> perda de massa de gelo (IMBIE/GRACE), salinidade superficial (SMOS, Argo), temperatura da superfície do mar, índices de AMOC (RAPID, SAMBA) e nível do mar por altimetria.</w:t>
      </w:r>
    </w:p>
    <w:p>
      <w:pPr>
        <w:pStyle w:val="ListParagraph"/>
        <w:numPr>
          <w:ilvl w:val="0"/>
          <w:numId w:val="4"/>
        </w:numPr>
      </w:pPr>
      <w:r>
        <w:rPr>
          <w:b/>
        </w:rPr>
        <w:t xml:space="preserve">Saídas candidatas:</w:t>
      </w:r>
      <w:r>
        <w:t xml:space="preserve"> nível do mar relativo nos marégrafos brasileiros, índices de erosão ou posição da linha de costa.</w:t>
      </w:r>
    </w:p>
    <w:p>
      <w:pPr>
        <w:pStyle w:val="ListParagraph"/>
        <w:numPr>
          <w:ilvl w:val="0"/>
          <w:numId w:val="4"/>
        </w:numPr>
      </w:pPr>
      <w:r>
        <w:rPr>
          <w:b/>
        </w:rPr>
        <w:t xml:space="preserve">Algoritmos recorrentes na literatura:</w:t>
      </w:r>
      <w:r>
        <w:t xml:space="preserve"> LSTM e outras redes recorrentes para séries temporais, Random Forest como linha de base, e abordagens híbridas física + ML.</w:t>
      </w:r>
    </w:p>
    <w:p>
      <w:pPr>
        <w:pStyle w:val="ListParagraph"/>
        <w:numPr>
          <w:ilvl w:val="0"/>
          <w:numId w:val="4"/>
        </w:numPr>
      </w:pPr>
      <w:r>
        <w:rPr>
          <w:b/>
        </w:rPr>
        <w:t xml:space="preserve">Cuidados:</w:t>
      </w:r>
      <w:r>
        <w:t xml:space="preserve"> séries curtas (a RAPID começou em 2004), falta de registros contínuos na costa brasileira (PBMC, 2016) e o risco de extrapolar para um regime de colapso que não aparece nos dados de treino.</w:t>
      </w:r>
    </w:p>
    <w:p>
      <w:pPr>
        <w:pStyle w:val="Heading2"/>
      </w:pPr>
      <w:r>
        <w:t xml:space="preserve">Tabela-resumo dos artigos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Tema</w:t>
            </w:r>
          </w:p>
        </w:tc>
        <w:tc>
          <w:tcPr>
            <w:tcW w:w="2340" w:type="dxa"/>
            <w:shd w:val="clear" w:color="auto" w:fill="F2F2F2"/>
          </w:tcPr>
          <w:p>
            <w:pPr/>
            <w:r>
              <w:t xml:space="preserve">Referência</w:t>
            </w:r>
          </w:p>
        </w:tc>
        <w:tc>
          <w:tcPr>
            <w:tcW w:w="2340" w:type="dxa"/>
            <w:shd w:val="clear" w:color="auto" w:fill="F2F2F2"/>
          </w:tcPr>
          <w:p>
            <w:pPr/>
            <w:r>
              <w:t xml:space="preserve">Revista</w:t>
            </w:r>
          </w:p>
        </w:tc>
        <w:tc>
          <w:tcPr>
            <w:tcW w:w="2340" w:type="dxa"/>
            <w:shd w:val="clear" w:color="auto" w:fill="F2F2F2"/>
          </w:tcPr>
          <w:p>
            <w:pPr/>
            <w:r>
              <w:t xml:space="preserve">Achado principal</w:t>
            </w:r>
          </w:p>
        </w:tc>
      </w:tr>
      <w:tr>
        <w:tc>
          <w:tcPr>
            <w:tcW w:w="2340" w:type="dxa"/>
          </w:tcPr>
          <w:p>
            <w:pPr/>
            <w:r>
              <w:t xml:space="preserve">Degelo</w:t>
            </w:r>
          </w:p>
        </w:tc>
        <w:tc>
          <w:tcPr>
            <w:tcW w:w="2340" w:type="dxa"/>
          </w:tcPr>
          <w:p>
            <w:pPr/>
            <w:hyperlink r:id="rId3" w:history="1">
              <w:r>
                <w:rPr>
                  <w:rStyle w:val="Hyperlink"/>
                </w:rPr>
                <w:t xml:space="preserve">IMBIE Team (2020)</w:t>
              </w:r>
            </w:hyperlink>
          </w:p>
        </w:tc>
        <w:tc>
          <w:tcPr>
            <w:tcW w:w="2340" w:type="dxa"/>
          </w:tcPr>
          <w:p>
            <w:pPr/>
            <w:r>
              <w:t xml:space="preserve">Nature</w:t>
            </w:r>
          </w:p>
        </w:tc>
        <w:tc>
          <w:tcPr>
            <w:tcW w:w="2340" w:type="dxa"/>
          </w:tcPr>
          <w:p>
            <w:pPr/>
            <w:r>
              <w:t xml:space="preserve">Groenlândia perdeu ~3.900 Gt de gelo entre 1992 e 2018 (+10,8 mm no nível do mar)</w:t>
            </w:r>
          </w:p>
        </w:tc>
      </w:tr>
      <w:tr>
        <w:tc>
          <w:tcPr>
            <w:tcW w:w="2340" w:type="dxa"/>
          </w:tcPr>
          <w:p>
            <w:pPr/>
            <w:r>
              <w:t xml:space="preserve">Degelo</w:t>
            </w:r>
          </w:p>
        </w:tc>
        <w:tc>
          <w:tcPr>
            <w:tcW w:w="2340" w:type="dxa"/>
          </w:tcPr>
          <w:p>
            <w:pPr/>
            <w:hyperlink r:id="rId4" w:history="1">
              <w:r>
                <w:rPr>
                  <w:rStyle w:val="Hyperlink"/>
                </w:rPr>
                <w:t xml:space="preserve">Otosaka et al. (2023)</w:t>
              </w:r>
            </w:hyperlink>
          </w:p>
        </w:tc>
        <w:tc>
          <w:tcPr>
            <w:tcW w:w="2340" w:type="dxa"/>
          </w:tcPr>
          <w:p>
            <w:pPr/>
            <w:r>
              <w:t xml:space="preserve">Earth Syst. Sci. Data</w:t>
            </w:r>
          </w:p>
        </w:tc>
        <w:tc>
          <w:tcPr>
            <w:tcW w:w="2340" w:type="dxa"/>
          </w:tcPr>
          <w:p>
            <w:pPr/>
            <w:r>
              <w:t xml:space="preserve">Groenlândia + Antártida perderam ~7.560 Gt entre 1992 e 2020 (+21 mm)</w:t>
            </w:r>
          </w:p>
        </w:tc>
      </w:tr>
      <w:tr>
        <w:tc>
          <w:tcPr>
            <w:tcW w:w="2340" w:type="dxa"/>
          </w:tcPr>
          <w:p>
            <w:pPr/>
            <w:r>
              <w:t xml:space="preserve">Degelo</w:t>
            </w:r>
          </w:p>
        </w:tc>
        <w:tc>
          <w:tcPr>
            <w:tcW w:w="2340" w:type="dxa"/>
          </w:tcPr>
          <w:p>
            <w:pPr/>
            <w:hyperlink r:id="rId5" w:history="1">
              <w:r>
                <w:rPr>
                  <w:rStyle w:val="Hyperlink"/>
                </w:rPr>
                <w:t xml:space="preserve">Rignot et al. (2019)</w:t>
              </w:r>
            </w:hyperlink>
          </w:p>
        </w:tc>
        <w:tc>
          <w:tcPr>
            <w:tcW w:w="2340" w:type="dxa"/>
          </w:tcPr>
          <w:p>
            <w:pPr/>
            <w:r>
              <w:t xml:space="preserve">PNAS</w:t>
            </w:r>
          </w:p>
        </w:tc>
        <w:tc>
          <w:tcPr>
            <w:tcW w:w="2340" w:type="dxa"/>
          </w:tcPr>
          <w:p>
            <w:pPr/>
            <w:r>
              <w:t xml:space="preserve">Perda de gelo antártica cresceu cerca de seis vezes em quatro décadas</w:t>
            </w:r>
          </w:p>
        </w:tc>
      </w:tr>
      <w:tr>
        <w:tc>
          <w:tcPr>
            <w:tcW w:w="2340" w:type="dxa"/>
          </w:tcPr>
          <w:p>
            <w:pPr/>
            <w:r>
              <w:t xml:space="preserve">Salinidade</w:t>
            </w:r>
          </w:p>
        </w:tc>
        <w:tc>
          <w:tcPr>
            <w:tcW w:w="2340" w:type="dxa"/>
          </w:tcPr>
          <w:p>
            <w:pPr/>
            <w:hyperlink r:id="rId6" w:history="1">
              <w:r>
                <w:rPr>
                  <w:rStyle w:val="Hyperlink"/>
                </w:rPr>
                <w:t xml:space="preserve">Durack e Wijffels (2010)</w:t>
              </w:r>
            </w:hyperlink>
          </w:p>
        </w:tc>
        <w:tc>
          <w:tcPr>
            <w:tcW w:w="2340" w:type="dxa"/>
          </w:tcPr>
          <w:p>
            <w:pPr/>
            <w:r>
              <w:t xml:space="preserve">Journal of Climate</w:t>
            </w:r>
          </w:p>
        </w:tc>
        <w:tc>
          <w:tcPr>
            <w:tcW w:w="2340" w:type="dxa"/>
          </w:tcPr>
          <w:p>
            <w:pPr/>
            <w:r>
              <w:t xml:space="preserve">Regiões salgadas ficaram mais salgadas e doces mais doces em 50 anos</w:t>
            </w:r>
          </w:p>
        </w:tc>
      </w:tr>
      <w:tr>
        <w:tc>
          <w:tcPr>
            <w:tcW w:w="2340" w:type="dxa"/>
          </w:tcPr>
          <w:p>
            <w:pPr/>
            <w:r>
              <w:t xml:space="preserve">Salinidade</w:t>
            </w:r>
          </w:p>
        </w:tc>
        <w:tc>
          <w:tcPr>
            <w:tcW w:w="2340" w:type="dxa"/>
          </w:tcPr>
          <w:p>
            <w:pPr/>
            <w:hyperlink r:id="rId7" w:history="1">
              <w:r>
                <w:rPr>
                  <w:rStyle w:val="Hyperlink"/>
                </w:rPr>
                <w:t xml:space="preserve">Böning et al. (2016)</w:t>
              </w:r>
            </w:hyperlink>
          </w:p>
        </w:tc>
        <w:tc>
          <w:tcPr>
            <w:tcW w:w="2340" w:type="dxa"/>
          </w:tcPr>
          <w:p>
            <w:pPr/>
            <w:r>
              <w:t xml:space="preserve">Nature Geoscience</w:t>
            </w:r>
          </w:p>
        </w:tc>
        <w:tc>
          <w:tcPr>
            <w:tcW w:w="2340" w:type="dxa"/>
          </w:tcPr>
          <w:p>
            <w:pPr/>
            <w:r>
              <w:t xml:space="preserve">Água de degelo da Groenlândia começa a afetar a formação de água profunda</w:t>
            </w:r>
          </w:p>
        </w:tc>
      </w:tr>
      <w:tr>
        <w:tc>
          <w:tcPr>
            <w:tcW w:w="2340" w:type="dxa"/>
          </w:tcPr>
          <w:p>
            <w:pPr/>
            <w:r>
              <w:t xml:space="preserve">Salinidade</w:t>
            </w:r>
          </w:p>
        </w:tc>
        <w:tc>
          <w:tcPr>
            <w:tcW w:w="2340" w:type="dxa"/>
          </w:tcPr>
          <w:p>
            <w:pPr/>
            <w:hyperlink r:id="rId8" w:history="1">
              <w:r>
                <w:rPr>
                  <w:rStyle w:val="Hyperlink"/>
                </w:rPr>
                <w:t xml:space="preserve">Zhu e Liu (2020)</w:t>
              </w:r>
            </w:hyperlink>
          </w:p>
        </w:tc>
        <w:tc>
          <w:tcPr>
            <w:tcW w:w="2340" w:type="dxa"/>
          </w:tcPr>
          <w:p>
            <w:pPr/>
            <w:r>
              <w:t xml:space="preserve">Nature Climate Change</w:t>
            </w:r>
          </w:p>
        </w:tc>
        <w:tc>
          <w:tcPr>
            <w:tcW w:w="2340" w:type="dxa"/>
          </w:tcPr>
          <w:p>
            <w:pPr/>
            <w:r>
              <w:t xml:space="preserve">AMOC mais fraca causa acúmulo de sal no Atlântico Sul</w:t>
            </w:r>
          </w:p>
        </w:tc>
      </w:tr>
      <w:tr>
        <w:tc>
          <w:tcPr>
            <w:tcW w:w="2340" w:type="dxa"/>
          </w:tcPr>
          <w:p>
            <w:pPr/>
            <w:r>
              <w:t xml:space="preserve">Salinidade</w:t>
            </w:r>
          </w:p>
        </w:tc>
        <w:tc>
          <w:tcPr>
            <w:tcW w:w="2340" w:type="dxa"/>
          </w:tcPr>
          <w:p>
            <w:pPr/>
            <w:hyperlink r:id="rId9" w:history="1">
              <w:r>
                <w:rPr>
                  <w:rStyle w:val="Hyperlink"/>
                </w:rPr>
                <w:t xml:space="preserve">Zhu et al. (2023)</w:t>
              </w:r>
            </w:hyperlink>
          </w:p>
        </w:tc>
        <w:tc>
          <w:tcPr>
            <w:tcW w:w="2340" w:type="dxa"/>
          </w:tcPr>
          <w:p>
            <w:pPr/>
            <w:r>
              <w:t xml:space="preserve">Nature Communications</w:t>
            </w:r>
          </w:p>
        </w:tc>
        <w:tc>
          <w:tcPr>
            <w:tcW w:w="2340" w:type="dxa"/>
          </w:tcPr>
          <w:p>
            <w:pPr/>
            <w:r>
              <w:t xml:space="preserve">Impressão digital de salinidade indica enfraquecimento acelerado da AMOC</w:t>
            </w:r>
          </w:p>
        </w:tc>
      </w:tr>
      <w:tr>
        <w:tc>
          <w:tcPr>
            <w:tcW w:w="2340" w:type="dxa"/>
          </w:tcPr>
          <w:p>
            <w:pPr/>
            <w:r>
              <w:t xml:space="preserve">AMOC</w:t>
            </w:r>
          </w:p>
        </w:tc>
        <w:tc>
          <w:tcPr>
            <w:tcW w:w="2340" w:type="dxa"/>
          </w:tcPr>
          <w:p>
            <w:pPr/>
            <w:hyperlink r:id="rId10" w:history="1">
              <w:r>
                <w:rPr>
                  <w:rStyle w:val="Hyperlink"/>
                </w:rPr>
                <w:t xml:space="preserve">Stommel (1961)</w:t>
              </w:r>
            </w:hyperlink>
          </w:p>
        </w:tc>
        <w:tc>
          <w:tcPr>
            <w:tcW w:w="2340" w:type="dxa"/>
          </w:tcPr>
          <w:p>
            <w:pPr/>
            <w:r>
              <w:t xml:space="preserve">Tellus</w:t>
            </w:r>
          </w:p>
        </w:tc>
        <w:tc>
          <w:tcPr>
            <w:tcW w:w="2340" w:type="dxa"/>
          </w:tcPr>
          <w:p>
            <w:pPr/>
            <w:r>
              <w:t xml:space="preserve">Circulação termohalina pode ter dois estados estáveis</w:t>
            </w:r>
          </w:p>
        </w:tc>
      </w:tr>
      <w:tr>
        <w:tc>
          <w:tcPr>
            <w:tcW w:w="2340" w:type="dxa"/>
          </w:tcPr>
          <w:p>
            <w:pPr/>
            <w:r>
              <w:t xml:space="preserve">AMOC</w:t>
            </w:r>
          </w:p>
        </w:tc>
        <w:tc>
          <w:tcPr>
            <w:tcW w:w="2340" w:type="dxa"/>
          </w:tcPr>
          <w:p>
            <w:pPr/>
            <w:hyperlink r:id="rId11" w:history="1">
              <w:r>
                <w:rPr>
                  <w:rStyle w:val="Hyperlink"/>
                </w:rPr>
                <w:t xml:space="preserve">Caesar et al. (2018)</w:t>
              </w:r>
            </w:hyperlink>
          </w:p>
        </w:tc>
        <w:tc>
          <w:tcPr>
            <w:tcW w:w="2340" w:type="dxa"/>
          </w:tcPr>
          <w:p>
            <w:pPr/>
            <w:r>
              <w:t xml:space="preserve">Nature</w:t>
            </w:r>
          </w:p>
        </w:tc>
        <w:tc>
          <w:tcPr>
            <w:tcW w:w="2340" w:type="dxa"/>
          </w:tcPr>
          <w:p>
            <w:pPr/>
            <w:r>
              <w:t xml:space="preserve">AMOC enfraqueceu ~15% (3 ± 1 Sv) desde meados do século XX</w:t>
            </w:r>
          </w:p>
        </w:tc>
      </w:tr>
      <w:tr>
        <w:tc>
          <w:tcPr>
            <w:tcW w:w="2340" w:type="dxa"/>
          </w:tcPr>
          <w:p>
            <w:pPr/>
            <w:r>
              <w:t xml:space="preserve">AMOC</w:t>
            </w:r>
          </w:p>
        </w:tc>
        <w:tc>
          <w:tcPr>
            <w:tcW w:w="2340" w:type="dxa"/>
          </w:tcPr>
          <w:p>
            <w:pPr/>
            <w:hyperlink r:id="rId12" w:history="1">
              <w:r>
                <w:rPr>
                  <w:rStyle w:val="Hyperlink"/>
                </w:rPr>
                <w:t xml:space="preserve">Caesar et al. (2021)</w:t>
              </w:r>
            </w:hyperlink>
          </w:p>
        </w:tc>
        <w:tc>
          <w:tcPr>
            <w:tcW w:w="2340" w:type="dxa"/>
          </w:tcPr>
          <w:p>
            <w:pPr/>
            <w:r>
              <w:t xml:space="preserve">Nature Geoscience</w:t>
            </w:r>
          </w:p>
        </w:tc>
        <w:tc>
          <w:tcPr>
            <w:tcW w:w="2340" w:type="dxa"/>
          </w:tcPr>
          <w:p>
            <w:pPr/>
            <w:r>
              <w:t xml:space="preserve">AMOC no estado mais fraco do último milênio</w:t>
            </w:r>
          </w:p>
        </w:tc>
      </w:tr>
      <w:tr>
        <w:tc>
          <w:tcPr>
            <w:tcW w:w="2340" w:type="dxa"/>
          </w:tcPr>
          <w:p>
            <w:pPr/>
            <w:r>
              <w:t xml:space="preserve">AMOC</w:t>
            </w:r>
          </w:p>
        </w:tc>
        <w:tc>
          <w:tcPr>
            <w:tcW w:w="2340" w:type="dxa"/>
          </w:tcPr>
          <w:p>
            <w:pPr/>
            <w:hyperlink r:id="rId13" w:history="1">
              <w:r>
                <w:rPr>
                  <w:rStyle w:val="Hyperlink"/>
                </w:rPr>
                <w:t xml:space="preserve">Boers (2021)</w:t>
              </w:r>
            </w:hyperlink>
          </w:p>
        </w:tc>
        <w:tc>
          <w:tcPr>
            <w:tcW w:w="2340" w:type="dxa"/>
          </w:tcPr>
          <w:p>
            <w:pPr/>
            <w:r>
              <w:t xml:space="preserve">Nature Climate Change</w:t>
            </w:r>
          </w:p>
        </w:tc>
        <w:tc>
          <w:tcPr>
            <w:tcW w:w="2340" w:type="dxa"/>
          </w:tcPr>
          <w:p>
            <w:pPr/>
            <w:r>
              <w:t xml:space="preserve">Sinais de alerta de perda de estabilidade em oito índices</w:t>
            </w:r>
          </w:p>
        </w:tc>
      </w:tr>
      <w:tr>
        <w:tc>
          <w:tcPr>
            <w:tcW w:w="2340" w:type="dxa"/>
          </w:tcPr>
          <w:p>
            <w:pPr/>
            <w:r>
              <w:t xml:space="preserve">AMOC</w:t>
            </w:r>
          </w:p>
        </w:tc>
        <w:tc>
          <w:tcPr>
            <w:tcW w:w="2340" w:type="dxa"/>
          </w:tcPr>
          <w:p>
            <w:pPr/>
            <w:hyperlink r:id="rId14" w:history="1">
              <w:r>
                <w:rPr>
                  <w:rStyle w:val="Hyperlink"/>
                </w:rPr>
                <w:t xml:space="preserve">Ditlevsen e Ditlevsen (2023)</w:t>
              </w:r>
            </w:hyperlink>
          </w:p>
        </w:tc>
        <w:tc>
          <w:tcPr>
            <w:tcW w:w="2340" w:type="dxa"/>
          </w:tcPr>
          <w:p>
            <w:pPr/>
            <w:r>
              <w:t xml:space="preserve">Nature Communications</w:t>
            </w:r>
          </w:p>
        </w:tc>
        <w:tc>
          <w:tcPr>
            <w:tcW w:w="2340" w:type="dxa"/>
          </w:tcPr>
          <w:p>
            <w:pPr/>
            <w:r>
              <w:t xml:space="preserve">Colapso estimado entre 2037 e 2109</w:t>
            </w:r>
          </w:p>
        </w:tc>
      </w:tr>
      <w:tr>
        <w:tc>
          <w:tcPr>
            <w:tcW w:w="2340" w:type="dxa"/>
          </w:tcPr>
          <w:p>
            <w:pPr/>
            <w:r>
              <w:t xml:space="preserve">AMOC</w:t>
            </w:r>
          </w:p>
        </w:tc>
        <w:tc>
          <w:tcPr>
            <w:tcW w:w="2340" w:type="dxa"/>
          </w:tcPr>
          <w:p>
            <w:pPr/>
            <w:hyperlink r:id="rId15" w:history="1">
              <w:r>
                <w:rPr>
                  <w:rStyle w:val="Hyperlink"/>
                </w:rPr>
                <w:t xml:space="preserve">van Westen, Kliphuis e Dijkstra (2024)</w:t>
              </w:r>
            </w:hyperlink>
          </w:p>
        </w:tc>
        <w:tc>
          <w:tcPr>
            <w:tcW w:w="2340" w:type="dxa"/>
          </w:tcPr>
          <w:p>
            <w:pPr/>
            <w:r>
              <w:t xml:space="preserve">Science Advances</w:t>
            </w:r>
          </w:p>
        </w:tc>
        <w:tc>
          <w:tcPr>
            <w:tcW w:w="2340" w:type="dxa"/>
          </w:tcPr>
          <w:p>
            <w:pPr/>
            <w:r>
              <w:t xml:space="preserve">Indicador físico no Atlântico Sul mostra AMOC em rota de colapso</w:t>
            </w:r>
          </w:p>
        </w:tc>
      </w:tr>
      <w:tr>
        <w:tc>
          <w:tcPr>
            <w:tcW w:w="2340" w:type="dxa"/>
          </w:tcPr>
          <w:p>
            <w:pPr/>
            <w:r>
              <w:t xml:space="preserve">AMOC</w:t>
            </w:r>
          </w:p>
        </w:tc>
        <w:tc>
          <w:tcPr>
            <w:tcW w:w="2340" w:type="dxa"/>
          </w:tcPr>
          <w:p>
            <w:pPr/>
            <w:hyperlink r:id="rId16" w:history="1">
              <w:r>
                <w:rPr>
                  <w:rStyle w:val="Hyperlink"/>
                </w:rPr>
                <w:t xml:space="preserve">Drijfhout et al. (2025)</w:t>
              </w:r>
            </w:hyperlink>
          </w:p>
        </w:tc>
        <w:tc>
          <w:tcPr>
            <w:tcW w:w="2340" w:type="dxa"/>
          </w:tcPr>
          <w:p>
            <w:pPr/>
            <w:r>
              <w:t xml:space="preserve">Environ. Res. Letters</w:t>
            </w:r>
          </w:p>
        </w:tc>
        <w:tc>
          <w:tcPr>
            <w:tcW w:w="2340" w:type="dxa"/>
          </w:tcPr>
          <w:p>
            <w:pPr/>
            <w:r>
              <w:t xml:space="preserve">Desligamento após 2100 em 25% a 67% das simulações</w:t>
            </w:r>
          </w:p>
        </w:tc>
      </w:tr>
      <w:tr>
        <w:tc>
          <w:tcPr>
            <w:tcW w:w="2340" w:type="dxa"/>
          </w:tcPr>
          <w:p>
            <w:pPr/>
            <w:r>
              <w:t xml:space="preserve">AMOC</w:t>
            </w:r>
          </w:p>
        </w:tc>
        <w:tc>
          <w:tcPr>
            <w:tcW w:w="2340" w:type="dxa"/>
          </w:tcPr>
          <w:p>
            <w:pPr/>
            <w:hyperlink r:id="rId17" w:history="1">
              <w:r>
                <w:rPr>
                  <w:rStyle w:val="Hyperlink"/>
                </w:rPr>
                <w:t xml:space="preserve">Baker et al. (2025)</w:t>
              </w:r>
            </w:hyperlink>
          </w:p>
        </w:tc>
        <w:tc>
          <w:tcPr>
            <w:tcW w:w="2340" w:type="dxa"/>
          </w:tcPr>
          <w:p>
            <w:pPr/>
            <w:r>
              <w:t xml:space="preserve">Nature</w:t>
            </w:r>
          </w:p>
        </w:tc>
        <w:tc>
          <w:tcPr>
            <w:tcW w:w="2340" w:type="dxa"/>
          </w:tcPr>
          <w:p>
            <w:pPr/>
            <w:r>
              <w:t xml:space="preserve">Ventos do Oceano Austral mantêm a AMOC mesmo em cenários extremos</w:t>
            </w:r>
          </w:p>
        </w:tc>
      </w:tr>
      <w:tr>
        <w:tc>
          <w:tcPr>
            <w:tcW w:w="2340" w:type="dxa"/>
          </w:tcPr>
          <w:p>
            <w:pPr/>
            <w:r>
              <w:t xml:space="preserve">AMOC</w:t>
            </w:r>
          </w:p>
        </w:tc>
        <w:tc>
          <w:tcPr>
            <w:tcW w:w="2340" w:type="dxa"/>
          </w:tcPr>
          <w:p>
            <w:pPr/>
            <w:hyperlink r:id="rId18" w:history="1">
              <w:r>
                <w:rPr>
                  <w:rStyle w:val="Hyperlink"/>
                </w:rPr>
                <w:t xml:space="preserve">Bonan et al. (2025)</w:t>
              </w:r>
            </w:hyperlink>
          </w:p>
        </w:tc>
        <w:tc>
          <w:tcPr>
            <w:tcW w:w="2340" w:type="dxa"/>
          </w:tcPr>
          <w:p>
            <w:pPr/>
            <w:r>
              <w:t xml:space="preserve">Nature Geoscience</w:t>
            </w:r>
          </w:p>
        </w:tc>
        <w:tc>
          <w:tcPr>
            <w:tcW w:w="2340" w:type="dxa"/>
          </w:tcPr>
          <w:p>
            <w:pPr/>
            <w:r>
              <w:t xml:space="preserve">Enfraquecimento limitado a 18%–43% até 2100</w:t>
            </w:r>
          </w:p>
        </w:tc>
      </w:tr>
      <w:tr>
        <w:tc>
          <w:tcPr>
            <w:tcW w:w="2340" w:type="dxa"/>
          </w:tcPr>
          <w:p>
            <w:pPr/>
            <w:r>
              <w:t xml:space="preserve">Brasil</w:t>
            </w:r>
          </w:p>
        </w:tc>
        <w:tc>
          <w:tcPr>
            <w:tcW w:w="2340" w:type="dxa"/>
          </w:tcPr>
          <w:p>
            <w:pPr/>
            <w:hyperlink r:id="rId19" w:history="1">
              <w:r>
                <w:rPr>
                  <w:rStyle w:val="Hyperlink"/>
                </w:rPr>
                <w:t xml:space="preserve">Orihuela-Pinto, England e Taschetto (2022)</w:t>
              </w:r>
            </w:hyperlink>
          </w:p>
        </w:tc>
        <w:tc>
          <w:tcPr>
            <w:tcW w:w="2340" w:type="dxa"/>
          </w:tcPr>
          <w:p>
            <w:pPr/>
            <w:r>
              <w:t xml:space="preserve">Nature Climate Change</w:t>
            </w:r>
          </w:p>
        </w:tc>
        <w:tc>
          <w:tcPr>
            <w:tcW w:w="2340" w:type="dxa"/>
          </w:tcPr>
          <w:p>
            <w:pPr/>
            <w:r>
              <w:t xml:space="preserve">AMOC colapsada aquece o Atlântico Sul tropical e reorganiza chuvas</w:t>
            </w:r>
          </w:p>
        </w:tc>
      </w:tr>
      <w:tr>
        <w:tc>
          <w:tcPr>
            <w:tcW w:w="2340" w:type="dxa"/>
          </w:tcPr>
          <w:p>
            <w:pPr/>
            <w:r>
              <w:t xml:space="preserve">Brasil</w:t>
            </w:r>
          </w:p>
        </w:tc>
        <w:tc>
          <w:tcPr>
            <w:tcW w:w="2340" w:type="dxa"/>
          </w:tcPr>
          <w:p>
            <w:pPr/>
            <w:hyperlink r:id="rId20" w:history="1">
              <w:r>
                <w:rPr>
                  <w:rStyle w:val="Hyperlink"/>
                </w:rPr>
                <w:t xml:space="preserve">Nian et al. (2023)</w:t>
              </w:r>
            </w:hyperlink>
          </w:p>
        </w:tc>
        <w:tc>
          <w:tcPr>
            <w:tcW w:w="2340" w:type="dxa"/>
          </w:tcPr>
          <w:p>
            <w:pPr/>
            <w:r>
              <w:t xml:space="preserve">Commun. Earth &amp; Environment</w:t>
            </w:r>
          </w:p>
        </w:tc>
        <w:tc>
          <w:tcPr>
            <w:tcW w:w="2340" w:type="dxa"/>
          </w:tcPr>
          <w:p>
            <w:pPr/>
            <w:r>
              <w:t xml:space="preserve">Colapso aumentaria chuvas no Nordeste e no leste do Brasil</w:t>
            </w:r>
          </w:p>
        </w:tc>
      </w:tr>
      <w:tr>
        <w:tc>
          <w:tcPr>
            <w:tcW w:w="2340" w:type="dxa"/>
          </w:tcPr>
          <w:p>
            <w:pPr/>
            <w:r>
              <w:t xml:space="preserve">Brasil</w:t>
            </w:r>
          </w:p>
        </w:tc>
        <w:tc>
          <w:tcPr>
            <w:tcW w:w="2340" w:type="dxa"/>
          </w:tcPr>
          <w:p>
            <w:pPr/>
            <w:hyperlink r:id="rId21" w:history="1">
              <w:r>
                <w:rPr>
                  <w:rStyle w:val="Hyperlink"/>
                </w:rPr>
                <w:t xml:space="preserve">Meccia et al. (2025)</w:t>
              </w:r>
            </w:hyperlink>
          </w:p>
        </w:tc>
        <w:tc>
          <w:tcPr>
            <w:tcW w:w="2340" w:type="dxa"/>
          </w:tcPr>
          <w:p>
            <w:pPr/>
            <w:r>
              <w:t xml:space="preserve">JGR Atmospheres</w:t>
            </w:r>
          </w:p>
        </w:tc>
        <w:tc>
          <w:tcPr>
            <w:tcW w:w="2340" w:type="dxa"/>
          </w:tcPr>
          <w:p>
            <w:pPr/>
            <w:r>
              <w:t xml:space="preserve">AMOC fraca intensifica extremos de chuva no Nordeste brasileiro</w:t>
            </w:r>
          </w:p>
        </w:tc>
      </w:tr>
      <w:tr>
        <w:tc>
          <w:tcPr>
            <w:tcW w:w="2340" w:type="dxa"/>
          </w:tcPr>
          <w:p>
            <w:pPr/>
            <w:r>
              <w:t xml:space="preserve">Brasil</w:t>
            </w:r>
          </w:p>
        </w:tc>
        <w:tc>
          <w:tcPr>
            <w:tcW w:w="2340" w:type="dxa"/>
          </w:tcPr>
          <w:p>
            <w:pPr/>
            <w:r>
              <w:t xml:space="preserve">PBMC (2016)</w:t>
            </w:r>
          </w:p>
        </w:tc>
        <w:tc>
          <w:tcPr>
            <w:tcW w:w="2340" w:type="dxa"/>
          </w:tcPr>
          <w:p>
            <w:pPr/>
            <w:r>
              <w:t xml:space="preserve">Relatório especial</w:t>
            </w:r>
          </w:p>
        </w:tc>
        <w:tc>
          <w:tcPr>
            <w:tcW w:w="2340" w:type="dxa"/>
          </w:tcPr>
          <w:p>
            <w:pPr/>
            <w:r>
              <w:t xml:space="preserve">Nível do mar sobe 1,2–4,2 mm/ano em SP e RJ</w:t>
            </w:r>
          </w:p>
        </w:tc>
      </w:tr>
      <w:tr>
        <w:tc>
          <w:tcPr>
            <w:tcW w:w="2340" w:type="dxa"/>
          </w:tcPr>
          <w:p>
            <w:pPr/>
            <w:r>
              <w:t xml:space="preserve">Brasil</w:t>
            </w:r>
          </w:p>
        </w:tc>
        <w:tc>
          <w:tcPr>
            <w:tcW w:w="2340" w:type="dxa"/>
          </w:tcPr>
          <w:p>
            <w:pPr/>
            <w:r>
              <w:t xml:space="preserve">Muehe (2018)</w:t>
            </w:r>
          </w:p>
        </w:tc>
        <w:tc>
          <w:tcPr>
            <w:tcW w:w="2340" w:type="dxa"/>
          </w:tcPr>
          <w:p>
            <w:pPr/>
            <w:r>
              <w:t xml:space="preserve">MMA</w:t>
            </w:r>
          </w:p>
        </w:tc>
        <w:tc>
          <w:tcPr>
            <w:tcW w:w="2340" w:type="dxa"/>
          </w:tcPr>
          <w:p>
            <w:pPr/>
            <w:r>
              <w:t xml:space="preserve">~60% das praias com erosão ou acúmulo; 60–65% no N e NE</w:t>
            </w:r>
          </w:p>
        </w:tc>
      </w:tr>
      <w:tr>
        <w:tc>
          <w:tcPr>
            <w:tcW w:w="2340" w:type="dxa"/>
          </w:tcPr>
          <w:p>
            <w:pPr/>
            <w:r>
              <w:t xml:space="preserve">ML</w:t>
            </w:r>
          </w:p>
        </w:tc>
        <w:tc>
          <w:tcPr>
            <w:tcW w:w="2340" w:type="dxa"/>
          </w:tcPr>
          <w:p>
            <w:pPr/>
            <w:hyperlink r:id="rId22" w:history="1">
              <w:r>
                <w:rPr>
                  <w:rStyle w:val="Hyperlink"/>
                </w:rPr>
                <w:t xml:space="preserve">Wu et al. (2025)</w:t>
              </w:r>
            </w:hyperlink>
          </w:p>
        </w:tc>
        <w:tc>
          <w:tcPr>
            <w:tcW w:w="2340" w:type="dxa"/>
          </w:tcPr>
          <w:p>
            <w:pPr/>
            <w:r>
              <w:t xml:space="preserve">Geophys. Res. Letters</w:t>
            </w:r>
          </w:p>
        </w:tc>
        <w:tc>
          <w:tcPr>
            <w:tcW w:w="2340" w:type="dxa"/>
          </w:tcPr>
          <w:p>
            <w:pPr/>
            <w:r>
              <w:t xml:space="preserve">Redes neurais preveem a AMOC 20 anos à frente em simulações</w:t>
            </w:r>
          </w:p>
        </w:tc>
      </w:tr>
      <w:tr>
        <w:tc>
          <w:tcPr>
            <w:tcW w:w="2340" w:type="dxa"/>
          </w:tcPr>
          <w:p>
            <w:pPr/>
            <w:r>
              <w:t xml:space="preserve">ML</w:t>
            </w:r>
          </w:p>
        </w:tc>
        <w:tc>
          <w:tcPr>
            <w:tcW w:w="2340" w:type="dxa"/>
          </w:tcPr>
          <w:p>
            <w:pPr/>
            <w:hyperlink r:id="rId23" w:history="1">
              <w:r>
                <w:rPr>
                  <w:rStyle w:val="Hyperlink"/>
                </w:rPr>
                <w:t xml:space="preserve">Primo de Siqueira e Paiva (2021)</w:t>
              </w:r>
            </w:hyperlink>
          </w:p>
        </w:tc>
        <w:tc>
          <w:tcPr>
            <w:tcW w:w="2340" w:type="dxa"/>
          </w:tcPr>
          <w:p>
            <w:pPr/>
            <w:r>
              <w:t xml:space="preserve">Ocean Modelling</w:t>
            </w:r>
          </w:p>
        </w:tc>
        <w:tc>
          <w:tcPr>
            <w:tcW w:w="2340" w:type="dxa"/>
          </w:tcPr>
          <w:p>
            <w:pPr/>
            <w:r>
              <w:t xml:space="preserve">HYCOM + rede neural reduz erros de previsão do nível do mar no Sudeste em ~50%</w:t>
            </w:r>
          </w:p>
        </w:tc>
      </w:tr>
      <w:tr>
        <w:tc>
          <w:tcPr>
            <w:tcW w:w="2340" w:type="dxa"/>
          </w:tcPr>
          <w:p>
            <w:pPr/>
            <w:r>
              <w:t xml:space="preserve">ML</w:t>
            </w:r>
          </w:p>
        </w:tc>
        <w:tc>
          <w:tcPr>
            <w:tcW w:w="2340" w:type="dxa"/>
          </w:tcPr>
          <w:p>
            <w:pPr/>
            <w:hyperlink r:id="rId24" w:history="1">
              <w:r>
                <w:rPr>
                  <w:rStyle w:val="Hyperlink"/>
                </w:rPr>
                <w:t xml:space="preserve">Ayinde et al. (2024)</w:t>
              </w:r>
            </w:hyperlink>
          </w:p>
        </w:tc>
        <w:tc>
          <w:tcPr>
            <w:tcW w:w="2340" w:type="dxa"/>
          </w:tcPr>
          <w:p>
            <w:pPr/>
            <w:r>
              <w:t xml:space="preserve">Sci. Total Environment</w:t>
            </w:r>
          </w:p>
        </w:tc>
        <w:tc>
          <w:tcPr>
            <w:tcW w:w="2340" w:type="dxa"/>
          </w:tcPr>
          <w:p>
            <w:pPr/>
            <w:r>
              <w:t xml:space="preserve">Revisão de ML para nível do mar; recomenda híbridos física + ML</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i.org/10.1038/s41586-019-1855-2" TargetMode="External"/><Relationship Id="rId4" Type="http://schemas.openxmlformats.org/officeDocument/2006/relationships/hyperlink" Target="https://doi.org/10.5194/essd-15-1597-2023" TargetMode="External"/><Relationship Id="rId5" Type="http://schemas.openxmlformats.org/officeDocument/2006/relationships/hyperlink" Target="https://doi.org/10.1073/pnas.1812883116" TargetMode="External"/><Relationship Id="rId6" Type="http://schemas.openxmlformats.org/officeDocument/2006/relationships/hyperlink" Target="https://doi.org/10.1175/2010JCLI3377.1" TargetMode="External"/><Relationship Id="rId7" Type="http://schemas.openxmlformats.org/officeDocument/2006/relationships/hyperlink" Target="https://doi.org/10.1038/ngeo2740" TargetMode="External"/><Relationship Id="rId8" Type="http://schemas.openxmlformats.org/officeDocument/2006/relationships/hyperlink" Target="https://doi.org/10.1038/s41558-020-0897-7" TargetMode="External"/><Relationship Id="rId9" Type="http://schemas.openxmlformats.org/officeDocument/2006/relationships/hyperlink" Target="https://doi.org/10.1038/s41467-023-36288-4" TargetMode="External"/><Relationship Id="rId10" Type="http://schemas.openxmlformats.org/officeDocument/2006/relationships/hyperlink" Target="https://doi.org/10.1111/j.2153-3490.1961.tb00079.x" TargetMode="External"/><Relationship Id="rId11" Type="http://schemas.openxmlformats.org/officeDocument/2006/relationships/hyperlink" Target="https://doi.org/10.1038/s41586-018-0006-5" TargetMode="External"/><Relationship Id="rId12" Type="http://schemas.openxmlformats.org/officeDocument/2006/relationships/hyperlink" Target="https://doi.org/10.1038/s41561-021-00699-z" TargetMode="External"/><Relationship Id="rId13" Type="http://schemas.openxmlformats.org/officeDocument/2006/relationships/hyperlink" Target="https://doi.org/10.1038/s41558-021-01097-4" TargetMode="External"/><Relationship Id="rId14" Type="http://schemas.openxmlformats.org/officeDocument/2006/relationships/hyperlink" Target="https://doi.org/10.1038/s41467-023-39810-w" TargetMode="External"/><Relationship Id="rId15" Type="http://schemas.openxmlformats.org/officeDocument/2006/relationships/hyperlink" Target="https://doi.org/10.1126/sciadv.adk1189" TargetMode="External"/><Relationship Id="rId16" Type="http://schemas.openxmlformats.org/officeDocument/2006/relationships/hyperlink" Target="https://doi.org/10.1088/1748-9326/adfa3b" TargetMode="External"/><Relationship Id="rId17" Type="http://schemas.openxmlformats.org/officeDocument/2006/relationships/hyperlink" Target="https://doi.org/10.1038/s41586-024-08544-0" TargetMode="External"/><Relationship Id="rId18" Type="http://schemas.openxmlformats.org/officeDocument/2006/relationships/hyperlink" Target="https://doi.org/10.1038/s41561-025-01709-0" TargetMode="External"/><Relationship Id="rId19" Type="http://schemas.openxmlformats.org/officeDocument/2006/relationships/hyperlink" Target="https://doi.org/10.1038/s41558-022-01380-y" TargetMode="External"/><Relationship Id="rId20" Type="http://schemas.openxmlformats.org/officeDocument/2006/relationships/hyperlink" Target="https://doi.org/10.1038/s43247-023-01123-7" TargetMode="External"/><Relationship Id="rId21" Type="http://schemas.openxmlformats.org/officeDocument/2006/relationships/hyperlink" Target="https://doi.org/10.1029/2025JD044103" TargetMode="External"/><Relationship Id="rId22" Type="http://schemas.openxmlformats.org/officeDocument/2006/relationships/hyperlink" Target="https://doi.org/10.1029/2024GL113454" TargetMode="External"/><Relationship Id="rId23" Type="http://schemas.openxmlformats.org/officeDocument/2006/relationships/hyperlink" Target="https://doi.org/10.1016/j.ocemod.2021.101898" TargetMode="External"/><Relationship Id="rId24" Type="http://schemas.openxmlformats.org/officeDocument/2006/relationships/hyperlink" Target="https://doi.org/10.1016/j.scitotenv.2024.17641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Degelo, AMOC e Salinidade – Textos-base</dc:title>
  <dc:description>Claude Docs node/c975fc5c-18d2@8 docx-w6</dc:description>
  <cp:revision>8</cp:revision>
</cp:coreProperties>
</file>